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B0A2C" w14:textId="38DF101D" w:rsidR="00593903" w:rsidRPr="00A43ED4" w:rsidRDefault="00593903" w:rsidP="00673D56">
      <w:pPr>
        <w:tabs>
          <w:tab w:val="left" w:pos="5245"/>
        </w:tabs>
        <w:rPr>
          <w:b/>
          <w:sz w:val="22"/>
          <w:szCs w:val="20"/>
        </w:rPr>
      </w:pPr>
      <w:r w:rsidRPr="00A43ED4">
        <w:rPr>
          <w:b/>
          <w:sz w:val="22"/>
          <w:szCs w:val="20"/>
        </w:rPr>
        <w:t>Bendra</w:t>
      </w:r>
      <w:r w:rsidR="00CC074A" w:rsidRPr="00A43ED4">
        <w:rPr>
          <w:b/>
          <w:sz w:val="22"/>
          <w:szCs w:val="20"/>
        </w:rPr>
        <w:t xml:space="preserve"> </w:t>
      </w:r>
      <w:r w:rsidRPr="00A43ED4">
        <w:rPr>
          <w:b/>
          <w:sz w:val="22"/>
          <w:szCs w:val="20"/>
        </w:rPr>
        <w:t>informacija</w:t>
      </w:r>
      <w:r w:rsidR="00A124C8" w:rsidRPr="00A43ED4">
        <w:rPr>
          <w:b/>
          <w:sz w:val="22"/>
          <w:szCs w:val="20"/>
        </w:rPr>
        <w:t xml:space="preserve"> apie </w:t>
      </w:r>
      <w:r w:rsidR="00C46A69">
        <w:rPr>
          <w:b/>
          <w:sz w:val="22"/>
          <w:szCs w:val="20"/>
        </w:rPr>
        <w:t>EURIBOR</w:t>
      </w:r>
      <w:r w:rsidR="00C46A69" w:rsidRPr="00A43ED4">
        <w:rPr>
          <w:b/>
          <w:sz w:val="22"/>
          <w:szCs w:val="20"/>
        </w:rPr>
        <w:t xml:space="preserve"> indeks</w:t>
      </w:r>
      <w:r w:rsidR="00C46A69">
        <w:rPr>
          <w:b/>
          <w:sz w:val="22"/>
          <w:szCs w:val="20"/>
        </w:rPr>
        <w:t>us</w:t>
      </w:r>
    </w:p>
    <w:p w14:paraId="3F721EB0" w14:textId="5B0C8195" w:rsidR="00673D56" w:rsidRPr="004E3D37" w:rsidRDefault="00673D56" w:rsidP="00B94C56">
      <w:pPr>
        <w:tabs>
          <w:tab w:val="left" w:pos="5245"/>
        </w:tabs>
        <w:jc w:val="both"/>
        <w:rPr>
          <w:sz w:val="20"/>
          <w:szCs w:val="20"/>
        </w:rPr>
      </w:pPr>
      <w:r w:rsidRPr="004E3D37">
        <w:rPr>
          <w:sz w:val="20"/>
          <w:szCs w:val="20"/>
        </w:rPr>
        <w:t xml:space="preserve">Kintama palūkanų norma – palūkanos, kurias sudaro kintama palūkanų </w:t>
      </w:r>
      <w:r w:rsidR="00E72F69">
        <w:rPr>
          <w:sz w:val="20"/>
          <w:szCs w:val="20"/>
        </w:rPr>
        <w:t>dalis</w:t>
      </w:r>
      <w:r w:rsidR="00E72F69" w:rsidRPr="004E3D37">
        <w:rPr>
          <w:sz w:val="20"/>
          <w:szCs w:val="20"/>
        </w:rPr>
        <w:t xml:space="preserve"> </w:t>
      </w:r>
      <w:r w:rsidRPr="004E3D37">
        <w:rPr>
          <w:sz w:val="20"/>
          <w:szCs w:val="20"/>
        </w:rPr>
        <w:t xml:space="preserve">(pvz. EURIBOR indeksas) ir kreditui nustatyta marža, kuri </w:t>
      </w:r>
      <w:r w:rsidR="00CE455D">
        <w:rPr>
          <w:sz w:val="20"/>
          <w:szCs w:val="20"/>
        </w:rPr>
        <w:t>nustato</w:t>
      </w:r>
      <w:r w:rsidR="00CE455D" w:rsidRPr="004E3D37">
        <w:rPr>
          <w:sz w:val="20"/>
          <w:szCs w:val="20"/>
        </w:rPr>
        <w:t xml:space="preserve">ma </w:t>
      </w:r>
      <w:r w:rsidRPr="004E3D37">
        <w:rPr>
          <w:sz w:val="20"/>
          <w:szCs w:val="20"/>
        </w:rPr>
        <w:t>kiekvienam klientui individualiai. Kintamos palūkanos pirmą kartą nustatomos sutarties sudarymo dieną ir nustatyt</w:t>
      </w:r>
      <w:r w:rsidR="00706213">
        <w:rPr>
          <w:sz w:val="20"/>
          <w:szCs w:val="20"/>
        </w:rPr>
        <w:t>u</w:t>
      </w:r>
      <w:r w:rsidRPr="004E3D37">
        <w:rPr>
          <w:sz w:val="20"/>
          <w:szCs w:val="20"/>
        </w:rPr>
        <w:t xml:space="preserve"> periodiškumu keičiasi</w:t>
      </w:r>
      <w:r w:rsidR="00CE455D">
        <w:rPr>
          <w:sz w:val="20"/>
          <w:szCs w:val="20"/>
        </w:rPr>
        <w:t>,</w:t>
      </w:r>
      <w:r w:rsidRPr="004E3D37">
        <w:rPr>
          <w:sz w:val="20"/>
          <w:szCs w:val="20"/>
        </w:rPr>
        <w:t xml:space="preserve"> priklausomai nuo </w:t>
      </w:r>
      <w:r w:rsidR="008B1E2C">
        <w:rPr>
          <w:sz w:val="20"/>
          <w:szCs w:val="20"/>
        </w:rPr>
        <w:t>kredito</w:t>
      </w:r>
      <w:r w:rsidR="008B1E2C" w:rsidRPr="004E3D37">
        <w:rPr>
          <w:sz w:val="20"/>
          <w:szCs w:val="20"/>
        </w:rPr>
        <w:t xml:space="preserve"> </w:t>
      </w:r>
      <w:r w:rsidRPr="004E3D37">
        <w:rPr>
          <w:sz w:val="20"/>
          <w:szCs w:val="20"/>
        </w:rPr>
        <w:t xml:space="preserve">kintamos palūkanų </w:t>
      </w:r>
      <w:r w:rsidR="00E72F69">
        <w:rPr>
          <w:sz w:val="20"/>
          <w:szCs w:val="20"/>
        </w:rPr>
        <w:t>dalie</w:t>
      </w:r>
      <w:r w:rsidR="00E72F69" w:rsidRPr="004E3D37">
        <w:rPr>
          <w:sz w:val="20"/>
          <w:szCs w:val="20"/>
        </w:rPr>
        <w:t xml:space="preserve">s </w:t>
      </w:r>
      <w:r w:rsidRPr="004E3D37">
        <w:rPr>
          <w:sz w:val="20"/>
          <w:szCs w:val="20"/>
        </w:rPr>
        <w:t xml:space="preserve">pokyčių – kylant EURIBOR indeksui, didėja už </w:t>
      </w:r>
      <w:r w:rsidR="008B1E2C">
        <w:rPr>
          <w:sz w:val="20"/>
          <w:szCs w:val="20"/>
        </w:rPr>
        <w:t>kredit</w:t>
      </w:r>
      <w:r w:rsidR="008B1E2C" w:rsidRPr="004E3D37">
        <w:rPr>
          <w:sz w:val="20"/>
          <w:szCs w:val="20"/>
        </w:rPr>
        <w:t>ą mokam</w:t>
      </w:r>
      <w:r w:rsidR="008B1E2C">
        <w:rPr>
          <w:sz w:val="20"/>
          <w:szCs w:val="20"/>
        </w:rPr>
        <w:t>os</w:t>
      </w:r>
      <w:r w:rsidR="008B1E2C" w:rsidRPr="004E3D37">
        <w:rPr>
          <w:sz w:val="20"/>
          <w:szCs w:val="20"/>
        </w:rPr>
        <w:t xml:space="preserve"> </w:t>
      </w:r>
      <w:r w:rsidRPr="004E3D37">
        <w:rPr>
          <w:sz w:val="20"/>
          <w:szCs w:val="20"/>
        </w:rPr>
        <w:t xml:space="preserve">palūkanos, mažėjant EURIBOR indeksui </w:t>
      </w:r>
      <w:r w:rsidR="00CE455D">
        <w:rPr>
          <w:sz w:val="20"/>
          <w:szCs w:val="20"/>
        </w:rPr>
        <w:t xml:space="preserve">– </w:t>
      </w:r>
      <w:r w:rsidRPr="004E3D37">
        <w:rPr>
          <w:sz w:val="20"/>
          <w:szCs w:val="20"/>
        </w:rPr>
        <w:t>mažėja</w:t>
      </w:r>
      <w:r w:rsidR="00CE455D">
        <w:rPr>
          <w:sz w:val="20"/>
          <w:szCs w:val="20"/>
        </w:rPr>
        <w:t xml:space="preserve"> </w:t>
      </w:r>
      <w:r w:rsidRPr="004E3D37">
        <w:rPr>
          <w:sz w:val="20"/>
          <w:szCs w:val="20"/>
        </w:rPr>
        <w:t xml:space="preserve">už </w:t>
      </w:r>
      <w:r w:rsidR="008B1E2C">
        <w:rPr>
          <w:sz w:val="20"/>
          <w:szCs w:val="20"/>
        </w:rPr>
        <w:t>kredit</w:t>
      </w:r>
      <w:r w:rsidR="008B1E2C" w:rsidRPr="004E3D37">
        <w:rPr>
          <w:sz w:val="20"/>
          <w:szCs w:val="20"/>
        </w:rPr>
        <w:t xml:space="preserve">ą </w:t>
      </w:r>
      <w:r w:rsidRPr="004E3D37">
        <w:rPr>
          <w:sz w:val="20"/>
          <w:szCs w:val="20"/>
        </w:rPr>
        <w:t xml:space="preserve">mokamos palūkanos. </w:t>
      </w:r>
      <w:r w:rsidR="00485F57">
        <w:rPr>
          <w:sz w:val="20"/>
          <w:szCs w:val="20"/>
        </w:rPr>
        <w:t>Sutarties sąlygose gali būti numatyta sąlyga</w:t>
      </w:r>
      <w:r w:rsidR="00706213">
        <w:rPr>
          <w:sz w:val="20"/>
          <w:szCs w:val="20"/>
        </w:rPr>
        <w:t>,</w:t>
      </w:r>
      <w:r w:rsidR="00485F57">
        <w:rPr>
          <w:sz w:val="20"/>
          <w:szCs w:val="20"/>
        </w:rPr>
        <w:t xml:space="preserve"> jog</w:t>
      </w:r>
      <w:r w:rsidR="00CE455D">
        <w:rPr>
          <w:sz w:val="20"/>
          <w:szCs w:val="20"/>
        </w:rPr>
        <w:t>,</w:t>
      </w:r>
      <w:r w:rsidR="00485F57">
        <w:rPr>
          <w:sz w:val="20"/>
          <w:szCs w:val="20"/>
        </w:rPr>
        <w:t xml:space="preserve"> indeksui pasiekus neigiamą reikšmę</w:t>
      </w:r>
      <w:r w:rsidR="00CE455D">
        <w:rPr>
          <w:sz w:val="20"/>
          <w:szCs w:val="20"/>
        </w:rPr>
        <w:t>,</w:t>
      </w:r>
      <w:r w:rsidR="00485F57">
        <w:rPr>
          <w:sz w:val="20"/>
          <w:szCs w:val="20"/>
        </w:rPr>
        <w:t xml:space="preserve"> laikoma, kad kintama palūkanų </w:t>
      </w:r>
      <w:r w:rsidR="00E72F69">
        <w:rPr>
          <w:sz w:val="20"/>
          <w:szCs w:val="20"/>
        </w:rPr>
        <w:t xml:space="preserve">dalis </w:t>
      </w:r>
      <w:r w:rsidR="00485883">
        <w:rPr>
          <w:sz w:val="20"/>
          <w:szCs w:val="20"/>
        </w:rPr>
        <w:t>lygi nuliui.</w:t>
      </w:r>
    </w:p>
    <w:p w14:paraId="3E57DEB0" w14:textId="4CD27E1B" w:rsidR="00593903" w:rsidRPr="004E3D37" w:rsidRDefault="00C46A69" w:rsidP="00A4734C">
      <w:pPr>
        <w:tabs>
          <w:tab w:val="left" w:pos="5245"/>
        </w:tabs>
        <w:jc w:val="both"/>
        <w:rPr>
          <w:sz w:val="20"/>
          <w:szCs w:val="20"/>
        </w:rPr>
      </w:pPr>
      <w:r w:rsidRPr="00304046">
        <w:rPr>
          <w:b/>
          <w:sz w:val="20"/>
          <w:szCs w:val="20"/>
        </w:rPr>
        <w:t xml:space="preserve">EURIBOR </w:t>
      </w:r>
      <w:r w:rsidRPr="00304046">
        <w:rPr>
          <w:sz w:val="20"/>
          <w:szCs w:val="20"/>
        </w:rPr>
        <w:t>(angl. Euro Interbank Offered Rate) yra orientacinis palūkanų dydis</w:t>
      </w:r>
      <w:r>
        <w:rPr>
          <w:sz w:val="20"/>
          <w:szCs w:val="20"/>
        </w:rPr>
        <w:t xml:space="preserve"> Europos e</w:t>
      </w:r>
      <w:r w:rsidRPr="00304046">
        <w:rPr>
          <w:sz w:val="20"/>
          <w:szCs w:val="20"/>
        </w:rPr>
        <w:t>konominėje ir pinigų sąjungoje</w:t>
      </w:r>
      <w:r>
        <w:rPr>
          <w:sz w:val="20"/>
          <w:szCs w:val="20"/>
        </w:rPr>
        <w:t xml:space="preserve"> ir </w:t>
      </w:r>
      <w:r w:rsidRPr="00304046">
        <w:rPr>
          <w:sz w:val="20"/>
          <w:szCs w:val="20"/>
        </w:rPr>
        <w:t xml:space="preserve">yra vidutinės Europos tarpbankinės rinkos palūkanų normos, kuriomis bankai yra pasiruošę skolinti pinigus eurais kitiems bankams.  EURIBOR </w:t>
      </w:r>
      <w:r>
        <w:rPr>
          <w:sz w:val="20"/>
          <w:szCs w:val="20"/>
        </w:rPr>
        <w:t>reikšmes savo tinklalapyje</w:t>
      </w:r>
      <w:r w:rsidRPr="0030404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kasdien </w:t>
      </w:r>
      <w:r w:rsidRPr="00304046">
        <w:rPr>
          <w:sz w:val="20"/>
          <w:szCs w:val="20"/>
        </w:rPr>
        <w:t>skelbia Europos pinigų rinkos institutas (angl. European Money Markets Institute – EMMI)</w:t>
      </w:r>
      <w:r>
        <w:rPr>
          <w:sz w:val="20"/>
          <w:szCs w:val="20"/>
        </w:rPr>
        <w:t xml:space="preserve">. Atnaujinamas kasdien EURIBOR indekso reikšmes galite pamatyti šiame tinklalapyje: </w:t>
      </w:r>
      <w:r w:rsidRPr="00304046">
        <w:rPr>
          <w:sz w:val="20"/>
          <w:szCs w:val="20"/>
        </w:rPr>
        <w:t>https://www.emmi-benchmarks.eu/euribor-org/euribor-rates.html</w:t>
      </w:r>
    </w:p>
    <w:p w14:paraId="4C06E41F" w14:textId="5E2D762F" w:rsidR="00593903" w:rsidRPr="004E3D37" w:rsidRDefault="00E30E2F" w:rsidP="00593903">
      <w:pPr>
        <w:tabs>
          <w:tab w:val="left" w:pos="5245"/>
        </w:tabs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7620A24" wp14:editId="272D627A">
            <wp:extent cx="6132195" cy="2060514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856" cy="2070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DD28C7" w14:textId="09D41529" w:rsidR="003D0F79" w:rsidRPr="00FE545E" w:rsidRDefault="00673D56" w:rsidP="00B94C56">
      <w:pPr>
        <w:jc w:val="both"/>
        <w:rPr>
          <w:sz w:val="20"/>
          <w:szCs w:val="20"/>
          <w:lang w:val="en-US"/>
        </w:rPr>
        <w:sectPr w:rsidR="003D0F79" w:rsidRPr="00FE545E" w:rsidSect="00A5239B">
          <w:type w:val="continuous"/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  <w:r w:rsidRPr="008B4993">
        <w:rPr>
          <w:sz w:val="20"/>
          <w:szCs w:val="20"/>
        </w:rPr>
        <w:t xml:space="preserve">Kintama palūkanų </w:t>
      </w:r>
      <w:r w:rsidR="00E72F69">
        <w:rPr>
          <w:sz w:val="20"/>
          <w:szCs w:val="20"/>
        </w:rPr>
        <w:t>dalis</w:t>
      </w:r>
      <w:r w:rsidRPr="008B4993">
        <w:rPr>
          <w:sz w:val="20"/>
          <w:szCs w:val="20"/>
        </w:rPr>
        <w:t xml:space="preserve">, priklausomai nuo sutarties sąlygų, kinta kas 3, 6 arba 12 mėnesių, todėl bendras mokamų palūkanų dydis gali sumažėti arba padidėti priklausomai nuo </w:t>
      </w:r>
      <w:r w:rsidR="00583BF9">
        <w:rPr>
          <w:sz w:val="20"/>
          <w:szCs w:val="20"/>
        </w:rPr>
        <w:t xml:space="preserve">kintamos </w:t>
      </w:r>
      <w:r w:rsidRPr="008B4993">
        <w:rPr>
          <w:sz w:val="20"/>
          <w:szCs w:val="20"/>
        </w:rPr>
        <w:t xml:space="preserve">palūkanų </w:t>
      </w:r>
      <w:r w:rsidR="00E72F69">
        <w:rPr>
          <w:sz w:val="20"/>
          <w:szCs w:val="20"/>
        </w:rPr>
        <w:t>dalies</w:t>
      </w:r>
      <w:r w:rsidR="00E72F69" w:rsidRPr="008B4993">
        <w:rPr>
          <w:sz w:val="20"/>
          <w:szCs w:val="20"/>
        </w:rPr>
        <w:t xml:space="preserve"> </w:t>
      </w:r>
      <w:r w:rsidRPr="008B4993">
        <w:rPr>
          <w:sz w:val="20"/>
          <w:szCs w:val="20"/>
        </w:rPr>
        <w:t xml:space="preserve">pokyčio. Imdami </w:t>
      </w:r>
      <w:r w:rsidR="008B1E2C">
        <w:rPr>
          <w:sz w:val="20"/>
          <w:szCs w:val="20"/>
        </w:rPr>
        <w:t>kredit</w:t>
      </w:r>
      <w:r w:rsidR="008B1E2C" w:rsidRPr="008B4993">
        <w:rPr>
          <w:sz w:val="20"/>
          <w:szCs w:val="20"/>
        </w:rPr>
        <w:t xml:space="preserve">ą </w:t>
      </w:r>
      <w:r w:rsidRPr="008B4993">
        <w:rPr>
          <w:sz w:val="20"/>
          <w:szCs w:val="20"/>
        </w:rPr>
        <w:t>su kintamomis palūkanų normomis</w:t>
      </w:r>
      <w:r w:rsidR="00CE455D">
        <w:rPr>
          <w:sz w:val="20"/>
          <w:szCs w:val="20"/>
        </w:rPr>
        <w:t>,</w:t>
      </w:r>
      <w:r w:rsidRPr="008B4993">
        <w:rPr>
          <w:sz w:val="20"/>
          <w:szCs w:val="20"/>
        </w:rPr>
        <w:t xml:space="preserve"> turite įverti</w:t>
      </w:r>
      <w:r w:rsidR="00593903" w:rsidRPr="008B4993">
        <w:rPr>
          <w:sz w:val="20"/>
          <w:szCs w:val="20"/>
        </w:rPr>
        <w:t>nti</w:t>
      </w:r>
      <w:r w:rsidRPr="008B4993">
        <w:rPr>
          <w:sz w:val="20"/>
          <w:szCs w:val="20"/>
        </w:rPr>
        <w:t xml:space="preserve"> tai, kad </w:t>
      </w:r>
      <w:r w:rsidR="00CC074A" w:rsidRPr="008B4993">
        <w:rPr>
          <w:sz w:val="20"/>
          <w:szCs w:val="20"/>
        </w:rPr>
        <w:t xml:space="preserve">kintamos palūkanų </w:t>
      </w:r>
      <w:r w:rsidR="00E72F69">
        <w:rPr>
          <w:sz w:val="20"/>
          <w:szCs w:val="20"/>
        </w:rPr>
        <w:t>dalies</w:t>
      </w:r>
      <w:r w:rsidR="00E72F69" w:rsidRPr="008B4993">
        <w:rPr>
          <w:sz w:val="20"/>
          <w:szCs w:val="20"/>
        </w:rPr>
        <w:t xml:space="preserve"> </w:t>
      </w:r>
      <w:r w:rsidR="00CC074A" w:rsidRPr="008B4993">
        <w:rPr>
          <w:sz w:val="20"/>
          <w:szCs w:val="20"/>
        </w:rPr>
        <w:t>didėjimo atvej</w:t>
      </w:r>
      <w:r w:rsidR="00954197">
        <w:rPr>
          <w:sz w:val="20"/>
          <w:szCs w:val="20"/>
        </w:rPr>
        <w:t>u</w:t>
      </w:r>
      <w:r w:rsidR="00CE455D">
        <w:rPr>
          <w:sz w:val="20"/>
          <w:szCs w:val="20"/>
        </w:rPr>
        <w:t xml:space="preserve"> </w:t>
      </w:r>
      <w:r w:rsidR="00954197">
        <w:rPr>
          <w:sz w:val="20"/>
          <w:szCs w:val="20"/>
        </w:rPr>
        <w:t>J</w:t>
      </w:r>
      <w:r w:rsidR="00CC074A" w:rsidRPr="008B4993">
        <w:rPr>
          <w:sz w:val="20"/>
          <w:szCs w:val="20"/>
        </w:rPr>
        <w:t>ūsų mokamos įmokos gali ženkliai padidėti.</w:t>
      </w:r>
      <w:r w:rsidR="00485883" w:rsidRPr="008B4993">
        <w:rPr>
          <w:sz w:val="20"/>
          <w:szCs w:val="20"/>
        </w:rPr>
        <w:t xml:space="preserve"> </w:t>
      </w:r>
    </w:p>
    <w:p w14:paraId="27F85F5E" w14:textId="77777777" w:rsidR="008B1E2C" w:rsidRDefault="008B1E2C" w:rsidP="008B1E2C">
      <w:pPr>
        <w:jc w:val="both"/>
        <w:rPr>
          <w:sz w:val="20"/>
          <w:szCs w:val="20"/>
        </w:rPr>
      </w:pPr>
      <w:r>
        <w:rPr>
          <w:sz w:val="20"/>
          <w:szCs w:val="20"/>
        </w:rPr>
        <w:t>Kredito</w:t>
      </w:r>
      <w:r w:rsidRPr="0057670A">
        <w:rPr>
          <w:sz w:val="20"/>
          <w:szCs w:val="20"/>
        </w:rPr>
        <w:t xml:space="preserve"> grąžinimo būdai:</w:t>
      </w:r>
    </w:p>
    <w:p w14:paraId="7E6F60A0" w14:textId="77777777" w:rsidR="008B1E2C" w:rsidRPr="004E3D37" w:rsidRDefault="008B1E2C" w:rsidP="008B1E2C">
      <w:pPr>
        <w:jc w:val="both"/>
        <w:rPr>
          <w:sz w:val="20"/>
          <w:szCs w:val="20"/>
        </w:rPr>
      </w:pPr>
      <w:r w:rsidRPr="004E3D37">
        <w:rPr>
          <w:sz w:val="20"/>
          <w:szCs w:val="20"/>
        </w:rPr>
        <w:t xml:space="preserve">Anuitetas – </w:t>
      </w:r>
      <w:r>
        <w:rPr>
          <w:sz w:val="20"/>
          <w:szCs w:val="20"/>
        </w:rPr>
        <w:t>kredito</w:t>
      </w:r>
      <w:r w:rsidRPr="004E3D37">
        <w:rPr>
          <w:sz w:val="20"/>
          <w:szCs w:val="20"/>
        </w:rPr>
        <w:t xml:space="preserve"> grąžinimo būdas, pagal kur</w:t>
      </w:r>
      <w:r>
        <w:rPr>
          <w:sz w:val="20"/>
          <w:szCs w:val="20"/>
        </w:rPr>
        <w:t xml:space="preserve">ią įmokos (kredito </w:t>
      </w:r>
      <w:r w:rsidRPr="004E3D37">
        <w:rPr>
          <w:sz w:val="20"/>
          <w:szCs w:val="20"/>
        </w:rPr>
        <w:t>pagrindinės dalies mokėjimas + palūkanos) iki palūkanų normos pasikeitimo datos</w:t>
      </w:r>
      <w:r>
        <w:rPr>
          <w:sz w:val="20"/>
          <w:szCs w:val="20"/>
        </w:rPr>
        <w:t>,</w:t>
      </w:r>
      <w:r w:rsidRPr="004E3D37">
        <w:rPr>
          <w:sz w:val="20"/>
          <w:szCs w:val="20"/>
        </w:rPr>
        <w:t xml:space="preserve"> t.</w:t>
      </w:r>
      <w:r>
        <w:rPr>
          <w:sz w:val="20"/>
          <w:szCs w:val="20"/>
        </w:rPr>
        <w:t xml:space="preserve"> </w:t>
      </w:r>
      <w:r w:rsidRPr="004E3D37">
        <w:rPr>
          <w:sz w:val="20"/>
          <w:szCs w:val="20"/>
        </w:rPr>
        <w:t>y. naujo grafiko sudarymo dienos, išlieka pastovi</w:t>
      </w:r>
      <w:r>
        <w:rPr>
          <w:sz w:val="20"/>
          <w:szCs w:val="20"/>
        </w:rPr>
        <w:t>os</w:t>
      </w:r>
      <w:r w:rsidRPr="004E3D37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Kredito mokėjimo pradžioje didesnę kiekvienos įmokos dalį sudaro </w:t>
      </w:r>
      <w:r w:rsidRPr="00CE455D">
        <w:rPr>
          <w:sz w:val="20"/>
          <w:szCs w:val="20"/>
        </w:rPr>
        <w:t xml:space="preserve">palūkanos </w:t>
      </w:r>
      <w:r>
        <w:rPr>
          <w:sz w:val="20"/>
          <w:szCs w:val="20"/>
        </w:rPr>
        <w:t>ir, kredito likučiui mažėjant, didėja pagrindinės kredito dalies įmokos, tačiau bendras įmokos dydis nekinta. Suėjus palūkanų normos keitimosi dienai, kredito gražinimo grafikas taip pakinta, atsižvelgiant į naują palūkanų normą, kad kredito pabaigos data nepakistų.</w:t>
      </w:r>
    </w:p>
    <w:p w14:paraId="11DAE545" w14:textId="77777777" w:rsidR="008B1E2C" w:rsidRPr="004E3D37" w:rsidRDefault="008B1E2C" w:rsidP="008B1E2C">
      <w:pPr>
        <w:jc w:val="both"/>
        <w:rPr>
          <w:sz w:val="20"/>
          <w:szCs w:val="20"/>
        </w:rPr>
      </w:pPr>
      <w:r w:rsidRPr="004E3D37">
        <w:rPr>
          <w:sz w:val="20"/>
          <w:szCs w:val="20"/>
        </w:rPr>
        <w:t xml:space="preserve">Linijinis – </w:t>
      </w:r>
      <w:r>
        <w:rPr>
          <w:sz w:val="20"/>
          <w:szCs w:val="20"/>
        </w:rPr>
        <w:t>kredito</w:t>
      </w:r>
      <w:r w:rsidRPr="004E3D37">
        <w:rPr>
          <w:sz w:val="20"/>
          <w:szCs w:val="20"/>
        </w:rPr>
        <w:t xml:space="preserve"> grąžinimo būdas, pagal kurį pagrindinė </w:t>
      </w:r>
      <w:r>
        <w:rPr>
          <w:sz w:val="20"/>
          <w:szCs w:val="20"/>
        </w:rPr>
        <w:t>kredito</w:t>
      </w:r>
      <w:r w:rsidRPr="004E3D37">
        <w:rPr>
          <w:sz w:val="20"/>
          <w:szCs w:val="20"/>
        </w:rPr>
        <w:t xml:space="preserve"> dalis išskaidoma tolygiai visam </w:t>
      </w:r>
      <w:r>
        <w:rPr>
          <w:sz w:val="20"/>
          <w:szCs w:val="20"/>
        </w:rPr>
        <w:t xml:space="preserve">kredito </w:t>
      </w:r>
      <w:r w:rsidRPr="004E3D37">
        <w:rPr>
          <w:sz w:val="20"/>
          <w:szCs w:val="20"/>
        </w:rPr>
        <w:t xml:space="preserve">laikotarpiui. Kadangi </w:t>
      </w:r>
      <w:r>
        <w:rPr>
          <w:sz w:val="20"/>
          <w:szCs w:val="20"/>
        </w:rPr>
        <w:t>kredito</w:t>
      </w:r>
      <w:r w:rsidRPr="004E3D37">
        <w:rPr>
          <w:sz w:val="20"/>
          <w:szCs w:val="20"/>
        </w:rPr>
        <w:t xml:space="preserve"> palūkanos skaičiuojamos nuo kredito likučio, </w:t>
      </w:r>
      <w:r>
        <w:rPr>
          <w:sz w:val="20"/>
          <w:szCs w:val="20"/>
        </w:rPr>
        <w:t>kredito</w:t>
      </w:r>
      <w:r w:rsidRPr="004E3D37">
        <w:rPr>
          <w:sz w:val="20"/>
          <w:szCs w:val="20"/>
        </w:rPr>
        <w:t xml:space="preserve"> </w:t>
      </w:r>
      <w:r>
        <w:rPr>
          <w:sz w:val="20"/>
          <w:szCs w:val="20"/>
        </w:rPr>
        <w:t>įmokos</w:t>
      </w:r>
      <w:r w:rsidRPr="004E3D37">
        <w:rPr>
          <w:sz w:val="20"/>
          <w:szCs w:val="20"/>
        </w:rPr>
        <w:t xml:space="preserve"> (</w:t>
      </w:r>
      <w:r>
        <w:rPr>
          <w:sz w:val="20"/>
          <w:szCs w:val="20"/>
        </w:rPr>
        <w:t>kredito</w:t>
      </w:r>
      <w:r w:rsidRPr="004E3D37">
        <w:rPr>
          <w:sz w:val="20"/>
          <w:szCs w:val="20"/>
        </w:rPr>
        <w:t xml:space="preserve"> pagrindinės dalies mokėjimas + palūkanos) </w:t>
      </w:r>
      <w:r>
        <w:rPr>
          <w:sz w:val="20"/>
          <w:szCs w:val="20"/>
        </w:rPr>
        <w:t>kredito</w:t>
      </w:r>
      <w:r w:rsidRPr="004E3D37">
        <w:rPr>
          <w:sz w:val="20"/>
          <w:szCs w:val="20"/>
        </w:rPr>
        <w:t xml:space="preserve"> mokėjimo pradžioje bus didžiausi ir tolygiai mažės mažėjant kredito likučiui.</w:t>
      </w:r>
      <w:r>
        <w:rPr>
          <w:sz w:val="20"/>
          <w:szCs w:val="20"/>
        </w:rPr>
        <w:t xml:space="preserve"> </w:t>
      </w:r>
    </w:p>
    <w:p w14:paraId="6EEBEAD5" w14:textId="77777777" w:rsidR="008B1E2C" w:rsidRDefault="008B1E2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AB140BC" w14:textId="24B92C79" w:rsidR="008B1E2C" w:rsidRDefault="008B1E2C" w:rsidP="008B1E2C">
      <w:pPr>
        <w:jc w:val="both"/>
        <w:rPr>
          <w:sz w:val="20"/>
          <w:szCs w:val="20"/>
        </w:rPr>
      </w:pPr>
      <w:r w:rsidRPr="004E3D37">
        <w:rPr>
          <w:sz w:val="20"/>
          <w:szCs w:val="20"/>
        </w:rPr>
        <w:lastRenderedPageBreak/>
        <w:t xml:space="preserve">Žemiau pateikiami </w:t>
      </w:r>
      <w:r>
        <w:rPr>
          <w:sz w:val="20"/>
          <w:szCs w:val="20"/>
        </w:rPr>
        <w:t>kredito</w:t>
      </w:r>
      <w:r w:rsidRPr="004E3D37">
        <w:rPr>
          <w:sz w:val="20"/>
          <w:szCs w:val="20"/>
        </w:rPr>
        <w:t xml:space="preserve"> grąžinimo grafikų pavyzdžiai</w:t>
      </w:r>
      <w:r>
        <w:rPr>
          <w:sz w:val="20"/>
          <w:szCs w:val="20"/>
        </w:rPr>
        <w:t xml:space="preserve"> ir jų kitimas, palūkanų normai pakilus 2 proc. punktais, esant šioms sutarties sąlygoms:</w:t>
      </w:r>
    </w:p>
    <w:p w14:paraId="5D0D46BC" w14:textId="77777777" w:rsidR="008B1E2C" w:rsidRPr="0057670A" w:rsidRDefault="008B1E2C" w:rsidP="008B1E2C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57670A">
        <w:rPr>
          <w:sz w:val="20"/>
          <w:szCs w:val="20"/>
        </w:rPr>
        <w:t xml:space="preserve">50 000 eurų </w:t>
      </w:r>
      <w:r>
        <w:rPr>
          <w:sz w:val="20"/>
          <w:szCs w:val="20"/>
        </w:rPr>
        <w:t>kreditas;</w:t>
      </w:r>
      <w:r w:rsidRPr="0057670A">
        <w:rPr>
          <w:sz w:val="20"/>
          <w:szCs w:val="20"/>
        </w:rPr>
        <w:t xml:space="preserve"> </w:t>
      </w:r>
    </w:p>
    <w:p w14:paraId="615F7D5A" w14:textId="77777777" w:rsidR="008B1E2C" w:rsidRPr="004E3D37" w:rsidRDefault="008B1E2C" w:rsidP="008B1E2C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4E3D37">
        <w:rPr>
          <w:sz w:val="20"/>
          <w:szCs w:val="20"/>
        </w:rPr>
        <w:t>suteikta 20 metų laikotarpiui</w:t>
      </w:r>
      <w:r>
        <w:rPr>
          <w:sz w:val="20"/>
          <w:szCs w:val="20"/>
        </w:rPr>
        <w:t>;</w:t>
      </w:r>
    </w:p>
    <w:p w14:paraId="2758C47B" w14:textId="77777777" w:rsidR="008B1E2C" w:rsidRPr="004E3D37" w:rsidRDefault="008B1E2C" w:rsidP="008B1E2C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4E3D37">
        <w:rPr>
          <w:sz w:val="20"/>
          <w:szCs w:val="20"/>
        </w:rPr>
        <w:t>kintama palūkanų norma</w:t>
      </w:r>
      <w:r>
        <w:rPr>
          <w:sz w:val="20"/>
          <w:szCs w:val="20"/>
        </w:rPr>
        <w:t xml:space="preserve">, </w:t>
      </w:r>
      <w:r w:rsidRPr="004E3D37">
        <w:rPr>
          <w:sz w:val="20"/>
          <w:szCs w:val="20"/>
        </w:rPr>
        <w:t xml:space="preserve"> galiojanti kredito išmokėjimo dieną</w:t>
      </w:r>
      <w:r>
        <w:rPr>
          <w:sz w:val="20"/>
          <w:szCs w:val="20"/>
        </w:rPr>
        <w:t xml:space="preserve">, yra </w:t>
      </w:r>
      <w:r w:rsidRPr="004E3D37">
        <w:rPr>
          <w:sz w:val="20"/>
          <w:szCs w:val="20"/>
        </w:rPr>
        <w:t>4% (</w:t>
      </w:r>
      <w:r>
        <w:rPr>
          <w:sz w:val="20"/>
          <w:szCs w:val="20"/>
        </w:rPr>
        <w:t>2,9</w:t>
      </w:r>
      <w:r w:rsidRPr="004E3D37">
        <w:rPr>
          <w:sz w:val="20"/>
          <w:szCs w:val="20"/>
        </w:rPr>
        <w:t xml:space="preserve">% marža  + </w:t>
      </w:r>
      <w:r>
        <w:rPr>
          <w:sz w:val="20"/>
          <w:szCs w:val="20"/>
        </w:rPr>
        <w:t>1,1</w:t>
      </w:r>
      <w:r w:rsidRPr="004E3D37">
        <w:rPr>
          <w:sz w:val="20"/>
          <w:szCs w:val="20"/>
        </w:rPr>
        <w:t xml:space="preserve">% kintama palūkanų </w:t>
      </w:r>
      <w:r>
        <w:rPr>
          <w:sz w:val="20"/>
          <w:szCs w:val="20"/>
        </w:rPr>
        <w:t>dalis</w:t>
      </w:r>
      <w:r w:rsidRPr="004E3D37">
        <w:rPr>
          <w:sz w:val="20"/>
          <w:szCs w:val="20"/>
        </w:rPr>
        <w:t>)</w:t>
      </w:r>
      <w:r>
        <w:rPr>
          <w:sz w:val="20"/>
          <w:szCs w:val="20"/>
        </w:rPr>
        <w:t>;</w:t>
      </w:r>
    </w:p>
    <w:p w14:paraId="137673E9" w14:textId="77777777" w:rsidR="008B1E2C" w:rsidRPr="004E3D37" w:rsidRDefault="008B1E2C" w:rsidP="008B1E2C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4E3D37">
        <w:rPr>
          <w:sz w:val="20"/>
          <w:szCs w:val="20"/>
        </w:rPr>
        <w:t>Palūkanų normų keitimo periodiškumas 12 mėn.</w:t>
      </w:r>
      <w:r>
        <w:rPr>
          <w:sz w:val="20"/>
          <w:szCs w:val="20"/>
        </w:rPr>
        <w:t>;</w:t>
      </w:r>
    </w:p>
    <w:p w14:paraId="42496139" w14:textId="77777777" w:rsidR="008B1E2C" w:rsidRPr="004E3D37" w:rsidRDefault="008B1E2C" w:rsidP="008B1E2C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Kredito</w:t>
      </w:r>
      <w:r w:rsidRPr="004E3D37">
        <w:rPr>
          <w:sz w:val="20"/>
          <w:szCs w:val="20"/>
        </w:rPr>
        <w:t xml:space="preserve"> grąžinimo metodas Anuitetas arba Linijinis</w:t>
      </w:r>
      <w:r>
        <w:rPr>
          <w:sz w:val="20"/>
          <w:szCs w:val="20"/>
        </w:rPr>
        <w:t>.</w:t>
      </w:r>
    </w:p>
    <w:p w14:paraId="1423AEA9" w14:textId="77777777" w:rsidR="008B1E2C" w:rsidRPr="004E3D37" w:rsidRDefault="008B1E2C" w:rsidP="008B1E2C">
      <w:pPr>
        <w:pStyle w:val="Caption"/>
        <w:keepNext/>
        <w:rPr>
          <w:b/>
          <w:color w:val="auto"/>
          <w:sz w:val="20"/>
          <w:szCs w:val="20"/>
        </w:rPr>
      </w:pPr>
      <w:r w:rsidRPr="004E3D37">
        <w:rPr>
          <w:b/>
          <w:color w:val="auto"/>
          <w:sz w:val="20"/>
          <w:szCs w:val="20"/>
        </w:rPr>
        <w:t xml:space="preserve">Lentelė </w:t>
      </w:r>
      <w:r w:rsidRPr="004E3D37">
        <w:rPr>
          <w:b/>
          <w:color w:val="auto"/>
          <w:sz w:val="20"/>
          <w:szCs w:val="20"/>
        </w:rPr>
        <w:fldChar w:fldCharType="begin"/>
      </w:r>
      <w:r w:rsidRPr="004E3D37">
        <w:rPr>
          <w:b/>
          <w:color w:val="auto"/>
          <w:sz w:val="20"/>
          <w:szCs w:val="20"/>
        </w:rPr>
        <w:instrText xml:space="preserve"> SEQ Lentelė \* ARABIC </w:instrText>
      </w:r>
      <w:r w:rsidRPr="004E3D37">
        <w:rPr>
          <w:b/>
          <w:color w:val="auto"/>
          <w:sz w:val="20"/>
          <w:szCs w:val="20"/>
        </w:rPr>
        <w:fldChar w:fldCharType="separate"/>
      </w:r>
      <w:r>
        <w:rPr>
          <w:b/>
          <w:noProof/>
          <w:color w:val="auto"/>
          <w:sz w:val="20"/>
          <w:szCs w:val="20"/>
        </w:rPr>
        <w:t>1</w:t>
      </w:r>
      <w:r w:rsidRPr="004E3D37">
        <w:rPr>
          <w:b/>
          <w:color w:val="auto"/>
          <w:sz w:val="20"/>
          <w:szCs w:val="20"/>
        </w:rPr>
        <w:fldChar w:fldCharType="end"/>
      </w:r>
      <w:r>
        <w:rPr>
          <w:b/>
          <w:color w:val="auto"/>
          <w:sz w:val="20"/>
          <w:szCs w:val="20"/>
        </w:rPr>
        <w:t>.</w:t>
      </w:r>
      <w:r w:rsidRPr="004E3D37">
        <w:rPr>
          <w:b/>
          <w:color w:val="auto"/>
          <w:sz w:val="20"/>
          <w:szCs w:val="20"/>
        </w:rPr>
        <w:t xml:space="preserve"> </w:t>
      </w:r>
      <w:r>
        <w:rPr>
          <w:b/>
          <w:color w:val="auto"/>
          <w:sz w:val="20"/>
          <w:szCs w:val="20"/>
        </w:rPr>
        <w:t>Kredito</w:t>
      </w:r>
      <w:r w:rsidRPr="004E3D37">
        <w:rPr>
          <w:b/>
          <w:color w:val="auto"/>
          <w:sz w:val="20"/>
          <w:szCs w:val="20"/>
        </w:rPr>
        <w:t xml:space="preserve"> mėnesinės įmokos</w:t>
      </w:r>
      <w:r>
        <w:rPr>
          <w:b/>
          <w:color w:val="auto"/>
          <w:sz w:val="20"/>
          <w:szCs w:val="20"/>
        </w:rPr>
        <w:t>,</w:t>
      </w:r>
      <w:r w:rsidRPr="004E3D37">
        <w:rPr>
          <w:b/>
          <w:color w:val="auto"/>
          <w:sz w:val="20"/>
          <w:szCs w:val="20"/>
        </w:rPr>
        <w:t xml:space="preserve"> jeigu palūkanų norma nekinta.</w:t>
      </w:r>
    </w:p>
    <w:tbl>
      <w:tblPr>
        <w:tblW w:w="9128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  <w:gridCol w:w="1304"/>
        <w:gridCol w:w="1304"/>
        <w:gridCol w:w="1304"/>
      </w:tblGrid>
      <w:tr w:rsidR="008B1E2C" w:rsidRPr="004E3D37" w14:paraId="6DEE9417" w14:textId="77777777" w:rsidTr="000A685E">
        <w:trPr>
          <w:trHeight w:val="779"/>
        </w:trPr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052E6" w14:textId="77777777" w:rsidR="008B1E2C" w:rsidRPr="004E3D37" w:rsidRDefault="008B1E2C" w:rsidP="000A685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  <w:t xml:space="preserve">Kredito </w:t>
            </w:r>
            <w:r w:rsidRPr="004E3D37"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  <w:t>mokėjimo būdas</w:t>
            </w:r>
          </w:p>
        </w:tc>
        <w:tc>
          <w:tcPr>
            <w:tcW w:w="13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922AA" w14:textId="77777777" w:rsidR="008B1E2C" w:rsidRPr="004E3D37" w:rsidRDefault="008B1E2C" w:rsidP="000A685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  <w:t>Vid. mėnesinė įmoka pirmais metais</w:t>
            </w:r>
          </w:p>
        </w:tc>
        <w:tc>
          <w:tcPr>
            <w:tcW w:w="13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396D3" w14:textId="77777777" w:rsidR="008B1E2C" w:rsidRPr="004E3D37" w:rsidRDefault="008B1E2C" w:rsidP="000A685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  <w:t>Vid. mėnesinė įmoka 5-ais metais</w:t>
            </w:r>
          </w:p>
        </w:tc>
        <w:tc>
          <w:tcPr>
            <w:tcW w:w="13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DBF93" w14:textId="77777777" w:rsidR="008B1E2C" w:rsidRPr="004E3D37" w:rsidRDefault="008B1E2C" w:rsidP="000A685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  <w:t>Vid. mėnesinė įmoka 10-ais metais</w:t>
            </w:r>
          </w:p>
        </w:tc>
        <w:tc>
          <w:tcPr>
            <w:tcW w:w="13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40B103F" w14:textId="77777777" w:rsidR="008B1E2C" w:rsidRPr="004E3D37" w:rsidRDefault="008B1E2C" w:rsidP="000A685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  <w:t>Vid. mėnesinė įmoka 15-ais metais</w:t>
            </w:r>
          </w:p>
        </w:tc>
        <w:tc>
          <w:tcPr>
            <w:tcW w:w="13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77AE9F3" w14:textId="77777777" w:rsidR="008B1E2C" w:rsidRPr="004E3D37" w:rsidRDefault="008B1E2C" w:rsidP="000A685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  <w:t>Vid. mėnesinė įmoka 20-ais metais</w:t>
            </w:r>
          </w:p>
        </w:tc>
        <w:tc>
          <w:tcPr>
            <w:tcW w:w="13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16DD770" w14:textId="77777777" w:rsidR="008B1E2C" w:rsidRPr="004E3D37" w:rsidRDefault="008B1E2C" w:rsidP="000A685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  <w:t>Iš viso</w:t>
            </w:r>
          </w:p>
        </w:tc>
      </w:tr>
      <w:tr w:rsidR="008B1E2C" w:rsidRPr="004E3D37" w14:paraId="60321D45" w14:textId="77777777" w:rsidTr="000A685E">
        <w:trPr>
          <w:trHeight w:val="433"/>
        </w:trPr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41D3B" w14:textId="77777777" w:rsidR="008B1E2C" w:rsidRPr="004E3D37" w:rsidRDefault="008B1E2C" w:rsidP="000A685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  <w:r w:rsidRPr="00314C62">
              <w:rPr>
                <w:rFonts w:eastAsia="Times New Roman"/>
                <w:sz w:val="18"/>
                <w:szCs w:val="20"/>
                <w:lang w:eastAsia="lt-LT"/>
              </w:rPr>
              <w:t>Anuitetas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254F3" w14:textId="77777777" w:rsidR="008B1E2C" w:rsidRPr="004E3D37" w:rsidRDefault="008B1E2C" w:rsidP="000A685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  <w:r w:rsidRPr="00314C62">
              <w:rPr>
                <w:rFonts w:eastAsia="Times New Roman"/>
                <w:sz w:val="18"/>
                <w:szCs w:val="20"/>
                <w:lang w:eastAsia="lt-LT"/>
              </w:rPr>
              <w:t>302,99 Eur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1B322" w14:textId="77777777" w:rsidR="008B1E2C" w:rsidRPr="004E3D37" w:rsidRDefault="008B1E2C" w:rsidP="000A685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  <w:r w:rsidRPr="00314C62">
              <w:rPr>
                <w:rFonts w:eastAsia="Times New Roman"/>
                <w:sz w:val="18"/>
                <w:szCs w:val="20"/>
                <w:lang w:eastAsia="lt-LT"/>
              </w:rPr>
              <w:t>302,99 Eur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21CC7" w14:textId="77777777" w:rsidR="008B1E2C" w:rsidRPr="004E3D37" w:rsidRDefault="008B1E2C" w:rsidP="000A685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  <w:r w:rsidRPr="00314C62">
              <w:rPr>
                <w:rFonts w:eastAsia="Times New Roman"/>
                <w:sz w:val="18"/>
                <w:szCs w:val="20"/>
                <w:lang w:eastAsia="lt-LT"/>
              </w:rPr>
              <w:t>302,99 Eur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7E70132" w14:textId="77777777" w:rsidR="008B1E2C" w:rsidRPr="004E3D37" w:rsidRDefault="008B1E2C" w:rsidP="000A685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  <w:r w:rsidRPr="00314C62">
              <w:rPr>
                <w:rFonts w:eastAsia="Times New Roman"/>
                <w:sz w:val="18"/>
                <w:szCs w:val="20"/>
                <w:lang w:eastAsia="lt-LT"/>
              </w:rPr>
              <w:t>302,99 Eur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4259B3B" w14:textId="77777777" w:rsidR="008B1E2C" w:rsidRPr="004E3D37" w:rsidRDefault="008B1E2C" w:rsidP="000A685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  <w:r w:rsidRPr="00314C62">
              <w:rPr>
                <w:rFonts w:eastAsia="Times New Roman"/>
                <w:sz w:val="18"/>
                <w:szCs w:val="20"/>
                <w:lang w:eastAsia="lt-LT"/>
              </w:rPr>
              <w:t>30</w:t>
            </w:r>
            <w:r>
              <w:rPr>
                <w:rFonts w:eastAsia="Times New Roman"/>
                <w:sz w:val="18"/>
                <w:szCs w:val="20"/>
                <w:lang w:eastAsia="lt-LT"/>
              </w:rPr>
              <w:t xml:space="preserve">5,57 </w:t>
            </w:r>
            <w:r w:rsidRPr="00314C62">
              <w:rPr>
                <w:rFonts w:eastAsia="Times New Roman"/>
                <w:sz w:val="18"/>
                <w:szCs w:val="20"/>
                <w:lang w:eastAsia="lt-LT"/>
              </w:rPr>
              <w:t>Eur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1C0E587" w14:textId="77777777" w:rsidR="008B1E2C" w:rsidRPr="004E3D37" w:rsidRDefault="008B1E2C" w:rsidP="000A685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  <w:r w:rsidRPr="00314C62">
              <w:rPr>
                <w:rFonts w:eastAsia="Times New Roman"/>
                <w:sz w:val="18"/>
                <w:szCs w:val="20"/>
                <w:lang w:eastAsia="lt-LT"/>
              </w:rPr>
              <w:t>72748,53 Eur</w:t>
            </w:r>
          </w:p>
        </w:tc>
      </w:tr>
      <w:tr w:rsidR="008B1E2C" w:rsidRPr="004E3D37" w14:paraId="06784042" w14:textId="77777777" w:rsidTr="000A685E">
        <w:trPr>
          <w:trHeight w:val="368"/>
        </w:trPr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9C6DE" w14:textId="77777777" w:rsidR="008B1E2C" w:rsidRPr="004E3D37" w:rsidRDefault="008B1E2C" w:rsidP="000A685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  <w:r w:rsidRPr="004C3D1F">
              <w:rPr>
                <w:rFonts w:eastAsia="Times New Roman"/>
                <w:sz w:val="18"/>
                <w:szCs w:val="18"/>
                <w:lang w:eastAsia="lt-LT"/>
              </w:rPr>
              <w:t>Linijinis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F2B96" w14:textId="77777777" w:rsidR="008B1E2C" w:rsidRPr="004E3D37" w:rsidRDefault="008B1E2C" w:rsidP="000A685E">
            <w:pPr>
              <w:spacing w:after="0"/>
              <w:jc w:val="center"/>
              <w:rPr>
                <w:sz w:val="20"/>
                <w:szCs w:val="20"/>
              </w:rPr>
            </w:pPr>
            <w:r w:rsidRPr="004C3D1F">
              <w:rPr>
                <w:sz w:val="18"/>
                <w:szCs w:val="18"/>
              </w:rPr>
              <w:t>371,63 Eur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7D390" w14:textId="77777777" w:rsidR="008B1E2C" w:rsidRPr="004E3D37" w:rsidRDefault="008B1E2C" w:rsidP="000A685E">
            <w:pPr>
              <w:spacing w:after="0"/>
              <w:jc w:val="center"/>
              <w:rPr>
                <w:sz w:val="20"/>
                <w:szCs w:val="20"/>
              </w:rPr>
            </w:pPr>
            <w:r w:rsidRPr="004C3D1F">
              <w:rPr>
                <w:sz w:val="18"/>
                <w:szCs w:val="18"/>
              </w:rPr>
              <w:t>338,20 Eur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C0C62" w14:textId="77777777" w:rsidR="008B1E2C" w:rsidRPr="004E3D37" w:rsidRDefault="008B1E2C" w:rsidP="000A685E">
            <w:pPr>
              <w:spacing w:after="0"/>
              <w:jc w:val="center"/>
              <w:rPr>
                <w:sz w:val="20"/>
                <w:szCs w:val="20"/>
              </w:rPr>
            </w:pPr>
            <w:r w:rsidRPr="004C3D1F">
              <w:rPr>
                <w:sz w:val="18"/>
                <w:szCs w:val="18"/>
              </w:rPr>
              <w:t>296,18 Eur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163F9F9" w14:textId="77777777" w:rsidR="008B1E2C" w:rsidRPr="004E3D37" w:rsidRDefault="008B1E2C" w:rsidP="000A685E">
            <w:pPr>
              <w:spacing w:after="0"/>
              <w:jc w:val="center"/>
              <w:rPr>
                <w:sz w:val="20"/>
                <w:szCs w:val="20"/>
              </w:rPr>
            </w:pPr>
            <w:r w:rsidRPr="004C3D1F">
              <w:rPr>
                <w:sz w:val="18"/>
                <w:szCs w:val="18"/>
              </w:rPr>
              <w:t>254,51 Eur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3798E5D" w14:textId="77777777" w:rsidR="008B1E2C" w:rsidRPr="004E3D37" w:rsidRDefault="008B1E2C" w:rsidP="000A68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212,91</w:t>
            </w:r>
            <w:r w:rsidRPr="004C3D1F">
              <w:rPr>
                <w:sz w:val="18"/>
                <w:szCs w:val="18"/>
              </w:rPr>
              <w:t xml:space="preserve"> Eur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9575582" w14:textId="77777777" w:rsidR="008B1E2C" w:rsidRPr="004E3D37" w:rsidRDefault="008B1E2C" w:rsidP="000A685E">
            <w:pPr>
              <w:keepNext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  <w:r w:rsidRPr="004C3D1F">
              <w:rPr>
                <w:rFonts w:eastAsia="Times New Roman"/>
                <w:sz w:val="18"/>
                <w:szCs w:val="18"/>
                <w:lang w:eastAsia="lt-LT"/>
              </w:rPr>
              <w:t>70099,41</w:t>
            </w:r>
            <w:r w:rsidRPr="002079B7">
              <w:rPr>
                <w:rFonts w:eastAsia="Times New Roman"/>
                <w:sz w:val="18"/>
                <w:szCs w:val="18"/>
                <w:lang w:eastAsia="lt-LT"/>
              </w:rPr>
              <w:t xml:space="preserve"> </w:t>
            </w:r>
            <w:r w:rsidRPr="004C3D1F">
              <w:rPr>
                <w:rFonts w:eastAsia="Times New Roman"/>
                <w:sz w:val="18"/>
                <w:szCs w:val="18"/>
                <w:lang w:eastAsia="lt-LT"/>
              </w:rPr>
              <w:t>Eur</w:t>
            </w:r>
          </w:p>
        </w:tc>
      </w:tr>
    </w:tbl>
    <w:p w14:paraId="4E45EA42" w14:textId="77777777" w:rsidR="008B1E2C" w:rsidRPr="004E3D37" w:rsidRDefault="008B1E2C" w:rsidP="008B1E2C">
      <w:pPr>
        <w:rPr>
          <w:i/>
          <w:sz w:val="20"/>
          <w:szCs w:val="20"/>
        </w:rPr>
      </w:pPr>
    </w:p>
    <w:p w14:paraId="6B38CE59" w14:textId="77777777" w:rsidR="008B1E2C" w:rsidRPr="004E3D37" w:rsidRDefault="008B1E2C" w:rsidP="008B1E2C">
      <w:pPr>
        <w:pStyle w:val="Caption"/>
        <w:rPr>
          <w:b/>
          <w:color w:val="auto"/>
          <w:sz w:val="20"/>
          <w:szCs w:val="20"/>
        </w:rPr>
      </w:pPr>
      <w:r w:rsidRPr="004E3D37">
        <w:rPr>
          <w:b/>
          <w:color w:val="auto"/>
          <w:sz w:val="20"/>
          <w:szCs w:val="20"/>
        </w:rPr>
        <w:t xml:space="preserve">Lentelė </w:t>
      </w:r>
      <w:r w:rsidRPr="004E3D37">
        <w:rPr>
          <w:b/>
          <w:color w:val="auto"/>
          <w:sz w:val="20"/>
          <w:szCs w:val="20"/>
        </w:rPr>
        <w:fldChar w:fldCharType="begin"/>
      </w:r>
      <w:r w:rsidRPr="004E3D37">
        <w:rPr>
          <w:b/>
          <w:color w:val="auto"/>
          <w:sz w:val="20"/>
          <w:szCs w:val="20"/>
        </w:rPr>
        <w:instrText xml:space="preserve"> SEQ Lentelė \* ARABIC </w:instrText>
      </w:r>
      <w:r w:rsidRPr="004E3D37">
        <w:rPr>
          <w:b/>
          <w:color w:val="auto"/>
          <w:sz w:val="20"/>
          <w:szCs w:val="20"/>
        </w:rPr>
        <w:fldChar w:fldCharType="separate"/>
      </w:r>
      <w:r>
        <w:rPr>
          <w:b/>
          <w:noProof/>
          <w:color w:val="auto"/>
          <w:sz w:val="20"/>
          <w:szCs w:val="20"/>
        </w:rPr>
        <w:t>2</w:t>
      </w:r>
      <w:r w:rsidRPr="004E3D37">
        <w:rPr>
          <w:b/>
          <w:color w:val="auto"/>
          <w:sz w:val="20"/>
          <w:szCs w:val="20"/>
        </w:rPr>
        <w:fldChar w:fldCharType="end"/>
      </w:r>
      <w:r>
        <w:rPr>
          <w:b/>
          <w:color w:val="auto"/>
          <w:sz w:val="20"/>
          <w:szCs w:val="20"/>
        </w:rPr>
        <w:t>.</w:t>
      </w:r>
      <w:r w:rsidRPr="004E3D37">
        <w:rPr>
          <w:b/>
          <w:color w:val="auto"/>
          <w:sz w:val="20"/>
          <w:szCs w:val="20"/>
        </w:rPr>
        <w:t xml:space="preserve"> </w:t>
      </w:r>
      <w:r>
        <w:rPr>
          <w:b/>
          <w:color w:val="auto"/>
          <w:sz w:val="20"/>
          <w:szCs w:val="20"/>
        </w:rPr>
        <w:t>Kredito</w:t>
      </w:r>
      <w:r w:rsidRPr="004E3D37">
        <w:rPr>
          <w:b/>
          <w:color w:val="auto"/>
          <w:sz w:val="20"/>
          <w:szCs w:val="20"/>
        </w:rPr>
        <w:t xml:space="preserve"> grąžinimo grafikas anuitetu:</w:t>
      </w:r>
    </w:p>
    <w:tbl>
      <w:tblPr>
        <w:tblW w:w="950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490"/>
        <w:gridCol w:w="2150"/>
        <w:gridCol w:w="2182"/>
        <w:gridCol w:w="1919"/>
        <w:gridCol w:w="1767"/>
      </w:tblGrid>
      <w:tr w:rsidR="008B1E2C" w:rsidRPr="004E3D37" w14:paraId="3CD281E6" w14:textId="77777777" w:rsidTr="000A685E">
        <w:trPr>
          <w:trHeight w:val="211"/>
        </w:trPr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D512D81" w14:textId="77777777" w:rsidR="008B1E2C" w:rsidRPr="004E3D37" w:rsidRDefault="008B1E2C" w:rsidP="000A68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Įmokos. Nr.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E4BB3C3" w14:textId="77777777" w:rsidR="008B1E2C" w:rsidRPr="004E3D37" w:rsidRDefault="008B1E2C" w:rsidP="000A68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Mokėtina pagrindinė kredito dalis, Eur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93C0A18" w14:textId="77777777" w:rsidR="008B1E2C" w:rsidRPr="004E3D37" w:rsidRDefault="008B1E2C" w:rsidP="000A68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Mokėtinos palūkanos, Eur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F5C14C7" w14:textId="77777777" w:rsidR="008B1E2C" w:rsidRPr="004E3D37" w:rsidRDefault="008B1E2C" w:rsidP="000A68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Bendra įmokos suma, Eur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A96233D" w14:textId="77777777" w:rsidR="008B1E2C" w:rsidRPr="004E3D37" w:rsidRDefault="008B1E2C" w:rsidP="000A68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Kredito Likutis po įmokos, Eur</w:t>
            </w:r>
          </w:p>
        </w:tc>
      </w:tr>
      <w:tr w:rsidR="008B1E2C" w:rsidRPr="004E3D37" w14:paraId="767B1C1B" w14:textId="77777777" w:rsidTr="000A685E">
        <w:trPr>
          <w:trHeight w:val="285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2ADF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9070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133,13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1A64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169,86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31EB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302,99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B1B3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49866,87</w:t>
            </w:r>
          </w:p>
        </w:tc>
      </w:tr>
      <w:tr w:rsidR="008B1E2C" w:rsidRPr="004E3D37" w14:paraId="232DBCD4" w14:textId="77777777" w:rsidTr="000A685E">
        <w:trPr>
          <w:trHeight w:val="285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3037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AA49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139,04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998B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163,95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6056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302,99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7A04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49727,83</w:t>
            </w:r>
          </w:p>
        </w:tc>
      </w:tr>
      <w:tr w:rsidR="008B1E2C" w:rsidRPr="004E3D37" w14:paraId="3B6C2ADC" w14:textId="77777777" w:rsidTr="000A685E">
        <w:trPr>
          <w:trHeight w:val="285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CE89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161E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134,05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4726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168,94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7D3C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302,99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2729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49593,78</w:t>
            </w:r>
          </w:p>
        </w:tc>
      </w:tr>
      <w:tr w:rsidR="008B1E2C" w:rsidRPr="004E3D37" w14:paraId="102F1DED" w14:textId="77777777" w:rsidTr="000A685E">
        <w:trPr>
          <w:trHeight w:val="285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0107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51D8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134,51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9F50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168,48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A3B8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302,99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93A6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49459,27</w:t>
            </w:r>
          </w:p>
        </w:tc>
      </w:tr>
      <w:tr w:rsidR="008B1E2C" w:rsidRPr="004E3D37" w14:paraId="19B66E5E" w14:textId="77777777" w:rsidTr="000A685E">
        <w:trPr>
          <w:trHeight w:val="285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BFAC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1AA0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145,81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50C0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157,18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D3C7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302,99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6737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49313,46</w:t>
            </w:r>
          </w:p>
        </w:tc>
      </w:tr>
      <w:tr w:rsidR="008B1E2C" w:rsidRPr="004E3D37" w14:paraId="06E984AA" w14:textId="77777777" w:rsidTr="000A685E">
        <w:trPr>
          <w:trHeight w:val="285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C745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619B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135,46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5259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167,53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EE68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302,99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EFF6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49178</w:t>
            </w:r>
          </w:p>
        </w:tc>
      </w:tr>
      <w:tr w:rsidR="008B1E2C" w:rsidRPr="004E3D37" w14:paraId="6B02DFC5" w14:textId="77777777" w:rsidTr="000A685E">
        <w:trPr>
          <w:trHeight w:val="285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2E7F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9593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141,31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27A1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161,68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35D0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302,99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3CBC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49036,69</w:t>
            </w:r>
          </w:p>
        </w:tc>
      </w:tr>
      <w:tr w:rsidR="008B1E2C" w:rsidRPr="004E3D37" w14:paraId="7AC599C5" w14:textId="77777777" w:rsidTr="000A685E">
        <w:trPr>
          <w:trHeight w:val="285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82D9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A974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136,4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B330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166,59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0F6D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302,99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C461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48900,29</w:t>
            </w:r>
          </w:p>
        </w:tc>
      </w:tr>
      <w:tr w:rsidR="008B1E2C" w:rsidRPr="004E3D37" w14:paraId="7D6FBD7E" w14:textId="77777777" w:rsidTr="000A685E">
        <w:trPr>
          <w:trHeight w:val="285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2749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D3CB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142,22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D609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160,77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CF17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302,99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8B8F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48758,07</w:t>
            </w:r>
          </w:p>
        </w:tc>
      </w:tr>
      <w:tr w:rsidR="008B1E2C" w:rsidRPr="004E3D37" w14:paraId="6B682D8E" w14:textId="77777777" w:rsidTr="000A685E">
        <w:trPr>
          <w:trHeight w:val="285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9517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792F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137,34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D425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165,65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61A3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302,99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8E04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48620,73</w:t>
            </w:r>
          </w:p>
        </w:tc>
      </w:tr>
      <w:tr w:rsidR="008B1E2C" w:rsidRPr="004E3D37" w14:paraId="4AC2459A" w14:textId="77777777" w:rsidTr="000A685E">
        <w:trPr>
          <w:trHeight w:val="285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9567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4AC9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137,81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EDF8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165,18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FA9D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302,99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49B9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48482,92</w:t>
            </w:r>
          </w:p>
        </w:tc>
      </w:tr>
      <w:tr w:rsidR="008B1E2C" w:rsidRPr="004E3D37" w14:paraId="543BC23C" w14:textId="77777777" w:rsidTr="000A685E">
        <w:trPr>
          <w:trHeight w:val="285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077B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A7B0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143,6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F903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159,39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950C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302,99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C699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48339,32</w:t>
            </w:r>
          </w:p>
        </w:tc>
      </w:tr>
      <w:tr w:rsidR="008B1E2C" w:rsidRPr="004E3D37" w14:paraId="01D46006" w14:textId="77777777" w:rsidTr="000A685E">
        <w:trPr>
          <w:trHeight w:val="285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4BF2" w14:textId="77777777" w:rsidR="008B1E2C" w:rsidRPr="004E3D37" w:rsidRDefault="008B1E2C" w:rsidP="000A68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…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35B8" w14:textId="77777777" w:rsidR="008B1E2C" w:rsidRPr="004E3D37" w:rsidRDefault="008B1E2C" w:rsidP="000A68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…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8D2A" w14:textId="77777777" w:rsidR="008B1E2C" w:rsidRPr="004E3D37" w:rsidRDefault="008B1E2C" w:rsidP="000A68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…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5C5F" w14:textId="77777777" w:rsidR="008B1E2C" w:rsidRPr="004E3D37" w:rsidRDefault="008B1E2C" w:rsidP="000A68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…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99BA" w14:textId="77777777" w:rsidR="008B1E2C" w:rsidRPr="004E3D37" w:rsidRDefault="008B1E2C" w:rsidP="000A68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…</w:t>
            </w:r>
          </w:p>
        </w:tc>
      </w:tr>
      <w:tr w:rsidR="008B1E2C" w:rsidRPr="004E3D37" w14:paraId="3261930C" w14:textId="77777777" w:rsidTr="000A685E">
        <w:trPr>
          <w:trHeight w:val="285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656D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239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D69F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300,84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824E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2,15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BD6E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302,99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0FA9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332,83</w:t>
            </w:r>
          </w:p>
        </w:tc>
      </w:tr>
      <w:tr w:rsidR="008B1E2C" w:rsidRPr="004E3D37" w14:paraId="5A7452EB" w14:textId="77777777" w:rsidTr="000A685E">
        <w:trPr>
          <w:trHeight w:val="285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063A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240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DB3A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332,83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1916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1,09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32BD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333,92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5D05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B1E2C" w:rsidRPr="004E3D37" w14:paraId="3B9B8A37" w14:textId="77777777" w:rsidTr="000A685E">
        <w:trPr>
          <w:trHeight w:val="300"/>
        </w:trPr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F3DD" w14:textId="77777777" w:rsidR="008B1E2C" w:rsidRPr="004E3D37" w:rsidRDefault="008B1E2C" w:rsidP="000A68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Iš viso: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2DBE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50000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9E4E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22748,53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C65D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72748,53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C82E" w14:textId="77777777" w:rsidR="008B1E2C" w:rsidRPr="004E3D37" w:rsidRDefault="008B1E2C" w:rsidP="000A685E">
            <w:pPr>
              <w:keepNext/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</w:tbl>
    <w:p w14:paraId="59124356" w14:textId="77777777" w:rsidR="008B1E2C" w:rsidRDefault="008B1E2C" w:rsidP="008B1E2C">
      <w:pPr>
        <w:rPr>
          <w:sz w:val="20"/>
          <w:szCs w:val="20"/>
        </w:rPr>
      </w:pPr>
    </w:p>
    <w:p w14:paraId="2CAE0E8A" w14:textId="77777777" w:rsidR="008B1E2C" w:rsidRDefault="008B1E2C" w:rsidP="008B1E2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C7084DF" w14:textId="77777777" w:rsidR="008B1E2C" w:rsidRPr="004E3D37" w:rsidRDefault="008B1E2C" w:rsidP="008B1E2C">
      <w:pPr>
        <w:rPr>
          <w:sz w:val="20"/>
          <w:szCs w:val="20"/>
        </w:rPr>
      </w:pPr>
    </w:p>
    <w:p w14:paraId="73A63673" w14:textId="77777777" w:rsidR="008B1E2C" w:rsidRPr="004E3D37" w:rsidRDefault="008B1E2C" w:rsidP="008B1E2C">
      <w:pPr>
        <w:pStyle w:val="Caption"/>
        <w:keepNext/>
        <w:rPr>
          <w:b/>
          <w:color w:val="auto"/>
          <w:sz w:val="20"/>
          <w:szCs w:val="20"/>
        </w:rPr>
      </w:pPr>
      <w:r w:rsidRPr="004E3D37">
        <w:rPr>
          <w:b/>
          <w:color w:val="auto"/>
          <w:sz w:val="20"/>
          <w:szCs w:val="20"/>
        </w:rPr>
        <w:t xml:space="preserve">Lentelė </w:t>
      </w:r>
      <w:r w:rsidRPr="004E3D37">
        <w:rPr>
          <w:b/>
          <w:color w:val="auto"/>
          <w:sz w:val="20"/>
          <w:szCs w:val="20"/>
        </w:rPr>
        <w:fldChar w:fldCharType="begin"/>
      </w:r>
      <w:r w:rsidRPr="004E3D37">
        <w:rPr>
          <w:b/>
          <w:color w:val="auto"/>
          <w:sz w:val="20"/>
          <w:szCs w:val="20"/>
        </w:rPr>
        <w:instrText xml:space="preserve"> SEQ Lentelė \* ARABIC </w:instrText>
      </w:r>
      <w:r w:rsidRPr="004E3D37">
        <w:rPr>
          <w:b/>
          <w:color w:val="auto"/>
          <w:sz w:val="20"/>
          <w:szCs w:val="20"/>
        </w:rPr>
        <w:fldChar w:fldCharType="separate"/>
      </w:r>
      <w:r>
        <w:rPr>
          <w:b/>
          <w:noProof/>
          <w:color w:val="auto"/>
          <w:sz w:val="20"/>
          <w:szCs w:val="20"/>
        </w:rPr>
        <w:t>3</w:t>
      </w:r>
      <w:r w:rsidRPr="004E3D37">
        <w:rPr>
          <w:b/>
          <w:color w:val="auto"/>
          <w:sz w:val="20"/>
          <w:szCs w:val="20"/>
        </w:rPr>
        <w:fldChar w:fldCharType="end"/>
      </w:r>
      <w:r>
        <w:rPr>
          <w:b/>
          <w:color w:val="auto"/>
          <w:sz w:val="20"/>
          <w:szCs w:val="20"/>
        </w:rPr>
        <w:t>.</w:t>
      </w:r>
      <w:r w:rsidRPr="004E3D37">
        <w:rPr>
          <w:b/>
          <w:color w:val="auto"/>
          <w:sz w:val="20"/>
          <w:szCs w:val="20"/>
        </w:rPr>
        <w:t xml:space="preserve"> Linijinis </w:t>
      </w:r>
      <w:r>
        <w:rPr>
          <w:b/>
          <w:color w:val="auto"/>
          <w:sz w:val="20"/>
          <w:szCs w:val="20"/>
        </w:rPr>
        <w:t>kredito</w:t>
      </w:r>
      <w:r w:rsidRPr="004E3D37">
        <w:rPr>
          <w:b/>
          <w:color w:val="auto"/>
          <w:sz w:val="20"/>
          <w:szCs w:val="20"/>
        </w:rPr>
        <w:t xml:space="preserve"> grąžinimo grafikas</w:t>
      </w:r>
    </w:p>
    <w:tbl>
      <w:tblPr>
        <w:tblW w:w="9540" w:type="dxa"/>
        <w:tblLook w:val="04A0" w:firstRow="1" w:lastRow="0" w:firstColumn="1" w:lastColumn="0" w:noHBand="0" w:noVBand="1"/>
      </w:tblPr>
      <w:tblGrid>
        <w:gridCol w:w="1418"/>
        <w:gridCol w:w="2126"/>
        <w:gridCol w:w="2268"/>
        <w:gridCol w:w="1843"/>
        <w:gridCol w:w="1885"/>
      </w:tblGrid>
      <w:tr w:rsidR="008B1E2C" w:rsidRPr="004E3D37" w14:paraId="712B5F54" w14:textId="77777777" w:rsidTr="000A685E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A83D901" w14:textId="77777777" w:rsidR="008B1E2C" w:rsidRPr="004E3D37" w:rsidRDefault="008B1E2C" w:rsidP="000A68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Įmokos. Nr.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F28E5B0" w14:textId="77777777" w:rsidR="008B1E2C" w:rsidRPr="004E3D37" w:rsidRDefault="008B1E2C" w:rsidP="000A68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Mokėtina pagrindinė kredito dalis, Eur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F00611D" w14:textId="77777777" w:rsidR="008B1E2C" w:rsidRPr="004E3D37" w:rsidRDefault="008B1E2C" w:rsidP="000A68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Mokėtinos palūkanos, Eur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C9A56A5" w14:textId="77777777" w:rsidR="008B1E2C" w:rsidRPr="004E3D37" w:rsidRDefault="008B1E2C" w:rsidP="000A68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Bendra įmokos suma, Eur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7FAF239" w14:textId="77777777" w:rsidR="008B1E2C" w:rsidRPr="004E3D37" w:rsidRDefault="008B1E2C" w:rsidP="000A68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Kredito Likutis po įmokos, Eur</w:t>
            </w:r>
          </w:p>
        </w:tc>
      </w:tr>
      <w:tr w:rsidR="008B1E2C" w:rsidRPr="004E3D37" w14:paraId="255A6472" w14:textId="77777777" w:rsidTr="000A685E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05A4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1C3F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208,33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9B83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169,86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EFE4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378,19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EF0C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49791,67</w:t>
            </w:r>
          </w:p>
        </w:tc>
      </w:tr>
      <w:tr w:rsidR="008B1E2C" w:rsidRPr="004E3D37" w14:paraId="4233232F" w14:textId="77777777" w:rsidTr="000A685E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2F06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C935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208,33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A96D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163,7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BD1F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372,03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3849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49583,34</w:t>
            </w:r>
          </w:p>
        </w:tc>
      </w:tr>
      <w:tr w:rsidR="008B1E2C" w:rsidRPr="004E3D37" w14:paraId="226C64EE" w14:textId="77777777" w:rsidTr="000A685E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93AC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FFE8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208,33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39A0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168,45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A0DE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376,78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3427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49375,01</w:t>
            </w:r>
          </w:p>
        </w:tc>
      </w:tr>
      <w:tr w:rsidR="008B1E2C" w:rsidRPr="004E3D37" w14:paraId="5F41A945" w14:textId="77777777" w:rsidTr="000A685E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D11C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E00F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208,33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84D4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167,74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89A3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376,07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1D23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49166,68</w:t>
            </w:r>
          </w:p>
        </w:tc>
      </w:tr>
      <w:tr w:rsidR="008B1E2C" w:rsidRPr="004E3D37" w14:paraId="689E7F05" w14:textId="77777777" w:rsidTr="000A685E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A8EF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D61B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208,33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9843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156,25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FCA2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364,58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B8D4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48958,35</w:t>
            </w:r>
          </w:p>
        </w:tc>
      </w:tr>
      <w:tr w:rsidR="008B1E2C" w:rsidRPr="004E3D37" w14:paraId="4F7B648B" w14:textId="77777777" w:rsidTr="000A685E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D323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A3E7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208,33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CBFA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166,33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27B5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374,66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4E8D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48750,02</w:t>
            </w:r>
          </w:p>
        </w:tc>
      </w:tr>
      <w:tr w:rsidR="008B1E2C" w:rsidRPr="004E3D37" w14:paraId="7F1E1AF7" w14:textId="77777777" w:rsidTr="000A685E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02DC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8E03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208,33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C5A2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160,27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A8B4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368,6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B47E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48541,69</w:t>
            </w:r>
          </w:p>
        </w:tc>
      </w:tr>
      <w:tr w:rsidR="008B1E2C" w:rsidRPr="004E3D37" w14:paraId="490104DF" w14:textId="77777777" w:rsidTr="000A685E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63BA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A2EC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208,33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1518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164,91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1FFE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373,24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5139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48333,36</w:t>
            </w:r>
          </w:p>
        </w:tc>
      </w:tr>
      <w:tr w:rsidR="008B1E2C" w:rsidRPr="004E3D37" w14:paraId="3B6B742F" w14:textId="77777777" w:rsidTr="000A685E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C0F1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C6E6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208,33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4E3C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158,91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FDC1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367,24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CA87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48125,03</w:t>
            </w:r>
          </w:p>
        </w:tc>
      </w:tr>
      <w:tr w:rsidR="008B1E2C" w:rsidRPr="004E3D37" w14:paraId="56683EE7" w14:textId="77777777" w:rsidTr="000A685E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126E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DA41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208,33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D6B8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163,49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01EB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371,82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9399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47916,7</w:t>
            </w:r>
          </w:p>
        </w:tc>
      </w:tr>
      <w:tr w:rsidR="008B1E2C" w:rsidRPr="004E3D37" w14:paraId="38F4C30D" w14:textId="77777777" w:rsidTr="000A685E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1A74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BB9F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208,33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7065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162,78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9DEB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371,11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284B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47708,37</w:t>
            </w:r>
          </w:p>
        </w:tc>
      </w:tr>
      <w:tr w:rsidR="008B1E2C" w:rsidRPr="004E3D37" w14:paraId="3AB4FE84" w14:textId="77777777" w:rsidTr="000A685E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A2AA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b/>
                <w:color w:val="000000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1E8A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b/>
                <w:color w:val="000000"/>
                <w:sz w:val="20"/>
                <w:szCs w:val="20"/>
                <w:lang w:eastAsia="lt-LT"/>
              </w:rPr>
              <w:t>208,33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523F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b/>
                <w:color w:val="000000"/>
                <w:sz w:val="20"/>
                <w:szCs w:val="20"/>
                <w:lang w:eastAsia="lt-LT"/>
              </w:rPr>
              <w:t>156,85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2AFA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b/>
                <w:color w:val="000000"/>
                <w:sz w:val="20"/>
                <w:szCs w:val="20"/>
                <w:lang w:eastAsia="lt-LT"/>
              </w:rPr>
              <w:t>365,18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AED5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b/>
                <w:color w:val="000000"/>
                <w:sz w:val="20"/>
                <w:szCs w:val="20"/>
                <w:lang w:eastAsia="lt-LT"/>
              </w:rPr>
              <w:t>47500,04</w:t>
            </w:r>
          </w:p>
        </w:tc>
      </w:tr>
      <w:tr w:rsidR="008B1E2C" w:rsidRPr="004E3D37" w14:paraId="3F461783" w14:textId="77777777" w:rsidTr="000A685E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DF53" w14:textId="77777777" w:rsidR="008B1E2C" w:rsidRPr="004E3D37" w:rsidRDefault="008B1E2C" w:rsidP="000A68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...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5709" w14:textId="77777777" w:rsidR="008B1E2C" w:rsidRPr="004E3D37" w:rsidRDefault="008B1E2C" w:rsidP="000A68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AC9E" w14:textId="77777777" w:rsidR="008B1E2C" w:rsidRPr="004E3D37" w:rsidRDefault="008B1E2C" w:rsidP="000A68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...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F3A7" w14:textId="77777777" w:rsidR="008B1E2C" w:rsidRPr="004E3D37" w:rsidRDefault="008B1E2C" w:rsidP="000A68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...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27BC" w14:textId="77777777" w:rsidR="008B1E2C" w:rsidRPr="004E3D37" w:rsidRDefault="008B1E2C" w:rsidP="000A68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...</w:t>
            </w:r>
          </w:p>
        </w:tc>
      </w:tr>
      <w:tr w:rsidR="008B1E2C" w:rsidRPr="004E3D37" w14:paraId="625CE00A" w14:textId="77777777" w:rsidTr="000A685E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C99D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239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81BF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208,33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6404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1,41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A8F3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209,74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2E4B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209,13</w:t>
            </w:r>
          </w:p>
        </w:tc>
      </w:tr>
      <w:tr w:rsidR="008B1E2C" w:rsidRPr="004E3D37" w14:paraId="672E129E" w14:textId="77777777" w:rsidTr="000A685E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D5F2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777D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209,13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B055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0,69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7005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209,82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2535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B1E2C" w:rsidRPr="004E3D37" w14:paraId="0E955CC9" w14:textId="77777777" w:rsidTr="000A685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2DF8" w14:textId="77777777" w:rsidR="008B1E2C" w:rsidRPr="004E3D37" w:rsidRDefault="008B1E2C" w:rsidP="000A68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8146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50000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2FC6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20099,41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9480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70099,41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B69D" w14:textId="77777777" w:rsidR="008B1E2C" w:rsidRPr="004E3D37" w:rsidRDefault="008B1E2C" w:rsidP="000A68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</w:tbl>
    <w:p w14:paraId="131543E5" w14:textId="77777777" w:rsidR="008B1E2C" w:rsidRPr="004E3D37" w:rsidRDefault="008B1E2C" w:rsidP="008B1E2C">
      <w:pPr>
        <w:rPr>
          <w:sz w:val="20"/>
          <w:szCs w:val="20"/>
        </w:rPr>
      </w:pPr>
    </w:p>
    <w:p w14:paraId="31DA64DE" w14:textId="77777777" w:rsidR="008B1E2C" w:rsidRPr="004E3D37" w:rsidRDefault="008B1E2C" w:rsidP="008B1E2C">
      <w:pPr>
        <w:jc w:val="both"/>
        <w:rPr>
          <w:sz w:val="20"/>
          <w:szCs w:val="20"/>
        </w:rPr>
      </w:pPr>
      <w:r>
        <w:rPr>
          <w:sz w:val="20"/>
          <w:szCs w:val="20"/>
        </w:rPr>
        <w:t>Dėl kintamos palūkanų dalies pokyčių, m</w:t>
      </w:r>
      <w:r w:rsidRPr="004E3D37">
        <w:rPr>
          <w:sz w:val="20"/>
          <w:szCs w:val="20"/>
        </w:rPr>
        <w:t>et</w:t>
      </w:r>
      <w:r>
        <w:rPr>
          <w:sz w:val="20"/>
          <w:szCs w:val="20"/>
        </w:rPr>
        <w:t>inei</w:t>
      </w:r>
      <w:r w:rsidRPr="004E3D37">
        <w:rPr>
          <w:sz w:val="20"/>
          <w:szCs w:val="20"/>
        </w:rPr>
        <w:t xml:space="preserve"> palūkanų norma</w:t>
      </w:r>
      <w:r>
        <w:rPr>
          <w:sz w:val="20"/>
          <w:szCs w:val="20"/>
        </w:rPr>
        <w:t>i</w:t>
      </w:r>
      <w:r w:rsidRPr="004E3D37">
        <w:rPr>
          <w:sz w:val="20"/>
          <w:szCs w:val="20"/>
        </w:rPr>
        <w:t xml:space="preserve"> pakil</w:t>
      </w:r>
      <w:r>
        <w:rPr>
          <w:sz w:val="20"/>
          <w:szCs w:val="20"/>
        </w:rPr>
        <w:t>us</w:t>
      </w:r>
      <w:r w:rsidRPr="004E3D37">
        <w:rPr>
          <w:sz w:val="20"/>
          <w:szCs w:val="20"/>
        </w:rPr>
        <w:t xml:space="preserve"> iki 6 proc.</w:t>
      </w:r>
      <w:r>
        <w:rPr>
          <w:sz w:val="20"/>
          <w:szCs w:val="20"/>
        </w:rPr>
        <w:t xml:space="preserve"> (2.9 proc. marža + </w:t>
      </w:r>
      <w:r w:rsidRPr="00237690">
        <w:rPr>
          <w:b/>
          <w:sz w:val="20"/>
        </w:rPr>
        <w:t>3,1 proc.</w:t>
      </w:r>
      <w:r>
        <w:rPr>
          <w:sz w:val="20"/>
          <w:szCs w:val="20"/>
        </w:rPr>
        <w:t xml:space="preserve"> kintama palūkanų dalis), </w:t>
      </w:r>
      <w:r w:rsidRPr="004E3D37">
        <w:rPr>
          <w:sz w:val="20"/>
          <w:szCs w:val="20"/>
        </w:rPr>
        <w:t xml:space="preserve">po palūkanų keitimosi datos </w:t>
      </w:r>
      <w:r>
        <w:rPr>
          <w:sz w:val="20"/>
          <w:szCs w:val="20"/>
        </w:rPr>
        <w:t>Jūsų mokamos palūkanos</w:t>
      </w:r>
      <w:r w:rsidRPr="004E3D37">
        <w:rPr>
          <w:sz w:val="20"/>
          <w:szCs w:val="20"/>
        </w:rPr>
        <w:t xml:space="preserve"> padidėtų. Žemiau 4</w:t>
      </w:r>
      <w:r>
        <w:rPr>
          <w:sz w:val="20"/>
          <w:szCs w:val="20"/>
        </w:rPr>
        <w:t>,</w:t>
      </w:r>
      <w:r w:rsidRPr="004E3D37">
        <w:rPr>
          <w:sz w:val="20"/>
          <w:szCs w:val="20"/>
        </w:rPr>
        <w:t xml:space="preserve"> 5</w:t>
      </w:r>
      <w:r>
        <w:rPr>
          <w:sz w:val="20"/>
          <w:szCs w:val="20"/>
        </w:rPr>
        <w:t xml:space="preserve"> ir 6 </w:t>
      </w:r>
      <w:r w:rsidRPr="004E3D37">
        <w:rPr>
          <w:sz w:val="20"/>
          <w:szCs w:val="20"/>
        </w:rPr>
        <w:t>lentelė</w:t>
      </w:r>
      <w:r>
        <w:rPr>
          <w:sz w:val="20"/>
          <w:szCs w:val="20"/>
        </w:rPr>
        <w:t>se</w:t>
      </w:r>
      <w:r w:rsidRPr="004E3D37">
        <w:rPr>
          <w:sz w:val="20"/>
          <w:szCs w:val="20"/>
        </w:rPr>
        <w:t xml:space="preserve"> pateikiam</w:t>
      </w:r>
      <w:r>
        <w:rPr>
          <w:sz w:val="20"/>
          <w:szCs w:val="20"/>
        </w:rPr>
        <w:t>e</w:t>
      </w:r>
      <w:r w:rsidRPr="004E3D37">
        <w:rPr>
          <w:sz w:val="20"/>
          <w:szCs w:val="20"/>
        </w:rPr>
        <w:t xml:space="preserve"> kaip pakistų anuiteto ir linijini</w:t>
      </w:r>
      <w:r>
        <w:rPr>
          <w:sz w:val="20"/>
          <w:szCs w:val="20"/>
        </w:rPr>
        <w:t>o mokėjimo būdų</w:t>
      </w:r>
      <w:r w:rsidRPr="004E3D37">
        <w:rPr>
          <w:sz w:val="20"/>
          <w:szCs w:val="20"/>
        </w:rPr>
        <w:t xml:space="preserve"> </w:t>
      </w:r>
      <w:r>
        <w:rPr>
          <w:sz w:val="20"/>
          <w:szCs w:val="20"/>
        </w:rPr>
        <w:t>įmokų</w:t>
      </w:r>
      <w:r w:rsidRPr="004E3D37">
        <w:rPr>
          <w:sz w:val="20"/>
          <w:szCs w:val="20"/>
        </w:rPr>
        <w:t xml:space="preserve"> grafikai</w:t>
      </w:r>
      <w:r>
        <w:rPr>
          <w:sz w:val="20"/>
          <w:szCs w:val="20"/>
        </w:rPr>
        <w:t>, jeigu po pirmų metų kintama palūkanų dalis pakiltų 2 proc. punktais.</w:t>
      </w:r>
    </w:p>
    <w:p w14:paraId="225C58EC" w14:textId="77777777" w:rsidR="008B1E2C" w:rsidRPr="004E3D37" w:rsidRDefault="008B1E2C" w:rsidP="008B1E2C">
      <w:pPr>
        <w:rPr>
          <w:b/>
          <w:sz w:val="20"/>
          <w:szCs w:val="20"/>
        </w:rPr>
      </w:pPr>
      <w:r w:rsidRPr="004E3D37">
        <w:rPr>
          <w:b/>
          <w:sz w:val="20"/>
          <w:szCs w:val="20"/>
        </w:rPr>
        <w:t>Lentelė 4</w:t>
      </w:r>
      <w:r>
        <w:rPr>
          <w:b/>
          <w:sz w:val="20"/>
          <w:szCs w:val="20"/>
        </w:rPr>
        <w:t>.</w:t>
      </w:r>
      <w:r w:rsidRPr="004E3D37">
        <w:rPr>
          <w:b/>
          <w:sz w:val="20"/>
          <w:szCs w:val="20"/>
        </w:rPr>
        <w:t xml:space="preserve"> Anuiteto grąžinimo grafikas</w:t>
      </w:r>
      <w:r>
        <w:rPr>
          <w:b/>
          <w:sz w:val="20"/>
          <w:szCs w:val="20"/>
        </w:rPr>
        <w:t>,</w:t>
      </w:r>
      <w:r w:rsidRPr="004E3D37">
        <w:rPr>
          <w:b/>
          <w:sz w:val="20"/>
          <w:szCs w:val="20"/>
        </w:rPr>
        <w:t xml:space="preserve"> palūkanų normai</w:t>
      </w:r>
      <w:r>
        <w:rPr>
          <w:b/>
          <w:sz w:val="20"/>
          <w:szCs w:val="20"/>
        </w:rPr>
        <w:t xml:space="preserve"> </w:t>
      </w:r>
      <w:r w:rsidRPr="004E3D37">
        <w:rPr>
          <w:b/>
          <w:sz w:val="20"/>
          <w:szCs w:val="20"/>
        </w:rPr>
        <w:t xml:space="preserve">po pirmų metų pakilus iki 6 proc. </w:t>
      </w:r>
    </w:p>
    <w:tbl>
      <w:tblPr>
        <w:tblW w:w="9780" w:type="dxa"/>
        <w:tblLook w:val="04A0" w:firstRow="1" w:lastRow="0" w:firstColumn="1" w:lastColumn="0" w:noHBand="0" w:noVBand="1"/>
      </w:tblPr>
      <w:tblGrid>
        <w:gridCol w:w="1220"/>
        <w:gridCol w:w="2140"/>
        <w:gridCol w:w="2140"/>
        <w:gridCol w:w="2140"/>
        <w:gridCol w:w="2140"/>
      </w:tblGrid>
      <w:tr w:rsidR="008B1E2C" w:rsidRPr="004E3D37" w14:paraId="7B813278" w14:textId="77777777" w:rsidTr="000A685E">
        <w:trPr>
          <w:trHeight w:val="467"/>
        </w:trPr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BCC0B3C" w14:textId="77777777" w:rsidR="008B1E2C" w:rsidRPr="004E3D37" w:rsidRDefault="008B1E2C" w:rsidP="000A68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Įmokos nr.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DD7CACB" w14:textId="77777777" w:rsidR="008B1E2C" w:rsidRPr="004E3D37" w:rsidRDefault="008B1E2C" w:rsidP="000A68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Mokėtina pagrindinė kredito dalis, Eur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A8BD153" w14:textId="77777777" w:rsidR="008B1E2C" w:rsidRPr="004E3D37" w:rsidRDefault="008B1E2C" w:rsidP="000A68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Mokėtinos palūkanos, Eur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0EA0F21" w14:textId="77777777" w:rsidR="008B1E2C" w:rsidRPr="004E3D37" w:rsidRDefault="008B1E2C" w:rsidP="000A68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Bendra įmokos suma, Eur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E5344C0" w14:textId="77777777" w:rsidR="008B1E2C" w:rsidRPr="004E3D37" w:rsidRDefault="008B1E2C" w:rsidP="000A68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Kredito Likutis po įmokos, Eur</w:t>
            </w:r>
          </w:p>
        </w:tc>
      </w:tr>
      <w:tr w:rsidR="008B1E2C" w:rsidRPr="004E3D37" w14:paraId="0EFE1DBA" w14:textId="77777777" w:rsidTr="000A685E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A12B1" w14:textId="77777777" w:rsidR="008B1E2C" w:rsidRPr="004E3D37" w:rsidRDefault="008B1E2C" w:rsidP="000A68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…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BD5C3" w14:textId="77777777" w:rsidR="008B1E2C" w:rsidRPr="004E3D37" w:rsidRDefault="008B1E2C" w:rsidP="000A68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…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45BEE" w14:textId="77777777" w:rsidR="008B1E2C" w:rsidRPr="004E3D37" w:rsidRDefault="008B1E2C" w:rsidP="000A68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…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3774E0" w14:textId="77777777" w:rsidR="008B1E2C" w:rsidRPr="004E3D37" w:rsidRDefault="008B1E2C" w:rsidP="000A68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…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BB726" w14:textId="77777777" w:rsidR="008B1E2C" w:rsidRPr="004E3D37" w:rsidRDefault="008B1E2C" w:rsidP="000A68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…</w:t>
            </w:r>
          </w:p>
        </w:tc>
      </w:tr>
      <w:tr w:rsidR="008B1E2C" w:rsidRPr="004E3D37" w14:paraId="0E6FBA26" w14:textId="77777777" w:rsidTr="000A685E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11C8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FBC1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109,49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C346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246,33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3C0F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355,82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D268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48229,83</w:t>
            </w:r>
          </w:p>
        </w:tc>
      </w:tr>
      <w:tr w:rsidR="008B1E2C" w:rsidRPr="004E3D37" w14:paraId="5CBF59AB" w14:textId="77777777" w:rsidTr="000A685E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F987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92F3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117,97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451F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237,85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B616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355,82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65B3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48111,86</w:t>
            </w:r>
          </w:p>
        </w:tc>
      </w:tr>
      <w:tr w:rsidR="008B1E2C" w:rsidRPr="004E3D37" w14:paraId="76938A46" w14:textId="77777777" w:rsidTr="000A685E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E690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FC4D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110,65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F595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245,17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2646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355,82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40C5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48001,21</w:t>
            </w:r>
          </w:p>
        </w:tc>
      </w:tr>
      <w:tr w:rsidR="008B1E2C" w:rsidRPr="004E3D37" w14:paraId="4DEE6DD8" w14:textId="77777777" w:rsidTr="000A685E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8EED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D85C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111,22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3F74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244,6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0C8C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355,82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34AC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47889,99</w:t>
            </w:r>
          </w:p>
        </w:tc>
      </w:tr>
      <w:tr w:rsidR="008B1E2C" w:rsidRPr="004E3D37" w14:paraId="3A6F362A" w14:textId="77777777" w:rsidTr="000A685E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DC9F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A1D8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135,4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AC64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220,42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58C2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355,82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01E9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47754,59</w:t>
            </w:r>
          </w:p>
        </w:tc>
      </w:tr>
      <w:tr w:rsidR="008B1E2C" w:rsidRPr="004E3D37" w14:paraId="13AD37FD" w14:textId="77777777" w:rsidTr="000A685E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C006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8D0F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112,47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3AFC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243,35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BAC7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355,82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26FA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47642,12</w:t>
            </w:r>
          </w:p>
        </w:tc>
      </w:tr>
      <w:tr w:rsidR="008B1E2C" w:rsidRPr="004E3D37" w14:paraId="5F235B28" w14:textId="77777777" w:rsidTr="000A685E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9F5A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339C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120,87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C184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234,95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9044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355,82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33BA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47521,25</w:t>
            </w:r>
          </w:p>
        </w:tc>
      </w:tr>
      <w:tr w:rsidR="008B1E2C" w:rsidRPr="004E3D37" w14:paraId="4F5D0388" w14:textId="77777777" w:rsidTr="000A685E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FFA5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4F47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113,66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5E0A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242,16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7A3A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355,82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DFAF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47407,59</w:t>
            </w:r>
          </w:p>
        </w:tc>
      </w:tr>
      <w:tr w:rsidR="008B1E2C" w:rsidRPr="004E3D37" w14:paraId="02C531AE" w14:textId="77777777" w:rsidTr="000A685E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52C5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2BA8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122,03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8893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233,79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4040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355,82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B0B8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47285,56</w:t>
            </w:r>
          </w:p>
        </w:tc>
      </w:tr>
      <w:tr w:rsidR="008B1E2C" w:rsidRPr="004E3D37" w14:paraId="634F9AED" w14:textId="77777777" w:rsidTr="000A685E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817A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180B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114,86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05A2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240,96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F510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355,82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3F27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47170,7</w:t>
            </w:r>
          </w:p>
        </w:tc>
      </w:tr>
      <w:tr w:rsidR="008B1E2C" w:rsidRPr="004E3D37" w14:paraId="051B81A6" w14:textId="77777777" w:rsidTr="000A685E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552E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B2CE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115,45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74A8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240,37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397C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355,82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0577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47055,25</w:t>
            </w:r>
          </w:p>
        </w:tc>
      </w:tr>
      <w:tr w:rsidR="008B1E2C" w:rsidRPr="004E3D37" w14:paraId="7D9EED3E" w14:textId="77777777" w:rsidTr="000A685E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6180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14B7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123,76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6036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232,06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C625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355,82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3AB4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46931,49</w:t>
            </w:r>
          </w:p>
        </w:tc>
      </w:tr>
      <w:tr w:rsidR="008B1E2C" w:rsidRPr="004E3D37" w14:paraId="1E8B99E9" w14:textId="77777777" w:rsidTr="000A685E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6C44" w14:textId="77777777" w:rsidR="008B1E2C" w:rsidRPr="004E3D37" w:rsidRDefault="008B1E2C" w:rsidP="000A68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...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5994" w14:textId="77777777" w:rsidR="008B1E2C" w:rsidRPr="004E3D37" w:rsidRDefault="008B1E2C" w:rsidP="000A68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...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3353" w14:textId="77777777" w:rsidR="008B1E2C" w:rsidRPr="004E3D37" w:rsidRDefault="008B1E2C" w:rsidP="000A68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...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9F3E" w14:textId="77777777" w:rsidR="008B1E2C" w:rsidRPr="004E3D37" w:rsidRDefault="008B1E2C" w:rsidP="000A68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...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C7D1" w14:textId="77777777" w:rsidR="008B1E2C" w:rsidRPr="004E3D37" w:rsidRDefault="008B1E2C" w:rsidP="000A68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...</w:t>
            </w:r>
          </w:p>
        </w:tc>
      </w:tr>
      <w:tr w:rsidR="008B1E2C" w:rsidRPr="004E3D37" w14:paraId="5F61A13C" w14:textId="77777777" w:rsidTr="000A685E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3238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239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7F7C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352,03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9CAE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3,79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7083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355,82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3F5E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393,28</w:t>
            </w:r>
          </w:p>
        </w:tc>
      </w:tr>
      <w:tr w:rsidR="008B1E2C" w:rsidRPr="004E3D37" w14:paraId="736CCC64" w14:textId="77777777" w:rsidTr="000A685E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5B74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571E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391,35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FBE7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1,93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BD3C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393,28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8B59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B1E2C" w:rsidRPr="004E3D37" w14:paraId="533F7FA7" w14:textId="77777777" w:rsidTr="000A685E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0A38" w14:textId="77777777" w:rsidR="008B1E2C" w:rsidRPr="004E3D37" w:rsidRDefault="008B1E2C" w:rsidP="000A68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Iš viso: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E3C8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50000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3689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34800,3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1F87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84800,3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5E54" w14:textId="77777777" w:rsidR="008B1E2C" w:rsidRPr="004E3D37" w:rsidRDefault="008B1E2C" w:rsidP="000A68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</w:tbl>
    <w:p w14:paraId="4610F9EB" w14:textId="77777777" w:rsidR="008B1E2C" w:rsidRPr="004E3D37" w:rsidRDefault="008B1E2C" w:rsidP="008B1E2C">
      <w:pPr>
        <w:rPr>
          <w:sz w:val="20"/>
          <w:szCs w:val="20"/>
        </w:rPr>
      </w:pPr>
    </w:p>
    <w:p w14:paraId="14507475" w14:textId="77777777" w:rsidR="008B1E2C" w:rsidRDefault="008B1E2C" w:rsidP="008B1E2C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6D9055F0" w14:textId="77777777" w:rsidR="008B1E2C" w:rsidRPr="004E3D37" w:rsidRDefault="008B1E2C" w:rsidP="008B1E2C">
      <w:pPr>
        <w:rPr>
          <w:b/>
          <w:sz w:val="20"/>
          <w:szCs w:val="20"/>
        </w:rPr>
      </w:pPr>
      <w:r w:rsidRPr="004E3D37">
        <w:rPr>
          <w:b/>
          <w:sz w:val="20"/>
          <w:szCs w:val="20"/>
        </w:rPr>
        <w:lastRenderedPageBreak/>
        <w:t>Lentelė 5</w:t>
      </w:r>
      <w:r>
        <w:rPr>
          <w:b/>
          <w:sz w:val="20"/>
          <w:szCs w:val="20"/>
        </w:rPr>
        <w:t>.</w:t>
      </w:r>
      <w:r w:rsidRPr="004E3D37">
        <w:rPr>
          <w:b/>
          <w:sz w:val="20"/>
          <w:szCs w:val="20"/>
        </w:rPr>
        <w:t xml:space="preserve"> Linijinis </w:t>
      </w:r>
      <w:r>
        <w:rPr>
          <w:b/>
          <w:sz w:val="20"/>
          <w:szCs w:val="20"/>
        </w:rPr>
        <w:t>kredito</w:t>
      </w:r>
      <w:r w:rsidRPr="004E3D37">
        <w:rPr>
          <w:b/>
          <w:sz w:val="20"/>
          <w:szCs w:val="20"/>
        </w:rPr>
        <w:t xml:space="preserve"> grąžinimo grafikas po pirmų metų</w:t>
      </w:r>
      <w:r>
        <w:rPr>
          <w:b/>
          <w:sz w:val="20"/>
          <w:szCs w:val="20"/>
        </w:rPr>
        <w:t>,</w:t>
      </w:r>
      <w:r w:rsidRPr="004E3D37">
        <w:rPr>
          <w:b/>
          <w:sz w:val="20"/>
          <w:szCs w:val="20"/>
        </w:rPr>
        <w:t xml:space="preserve"> palūkanų normai pakilus iki 6 proc. </w:t>
      </w:r>
    </w:p>
    <w:tbl>
      <w:tblPr>
        <w:tblW w:w="9520" w:type="dxa"/>
        <w:tblLook w:val="04A0" w:firstRow="1" w:lastRow="0" w:firstColumn="1" w:lastColumn="0" w:noHBand="0" w:noVBand="1"/>
      </w:tblPr>
      <w:tblGrid>
        <w:gridCol w:w="1360"/>
        <w:gridCol w:w="2326"/>
        <w:gridCol w:w="1754"/>
        <w:gridCol w:w="2040"/>
        <w:gridCol w:w="2040"/>
      </w:tblGrid>
      <w:tr w:rsidR="008B1E2C" w:rsidRPr="004E3D37" w14:paraId="2175A2EF" w14:textId="77777777" w:rsidTr="000A685E">
        <w:trPr>
          <w:trHeight w:val="341"/>
        </w:trPr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53DC32F" w14:textId="77777777" w:rsidR="008B1E2C" w:rsidRPr="004E3D37" w:rsidRDefault="008B1E2C" w:rsidP="000A68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Įmokos. Nr.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D75CA9A" w14:textId="77777777" w:rsidR="008B1E2C" w:rsidRPr="004E3D37" w:rsidRDefault="008B1E2C" w:rsidP="000A68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Mokėtina pagrindinė kredito dalis, Eur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AEA3854" w14:textId="77777777" w:rsidR="008B1E2C" w:rsidRPr="004E3D37" w:rsidRDefault="008B1E2C" w:rsidP="000A68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Mokėtinos palūkanos, Eur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67FEC2C" w14:textId="77777777" w:rsidR="008B1E2C" w:rsidRPr="004E3D37" w:rsidRDefault="008B1E2C" w:rsidP="000A68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Bendra įmokos suma, Eur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4941EFC" w14:textId="77777777" w:rsidR="008B1E2C" w:rsidRPr="004E3D37" w:rsidRDefault="008B1E2C" w:rsidP="000A68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Kredito Likutis po įmokos, Eur</w:t>
            </w:r>
          </w:p>
        </w:tc>
      </w:tr>
      <w:tr w:rsidR="008B1E2C" w:rsidRPr="004E3D37" w14:paraId="7A9C4DF0" w14:textId="77777777" w:rsidTr="000A685E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F86831" w14:textId="77777777" w:rsidR="008B1E2C" w:rsidRPr="004E3D37" w:rsidRDefault="008B1E2C" w:rsidP="000A68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...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C1F093" w14:textId="77777777" w:rsidR="008B1E2C" w:rsidRPr="004E3D37" w:rsidRDefault="008B1E2C" w:rsidP="000A68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...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3709E6" w14:textId="77777777" w:rsidR="008B1E2C" w:rsidRPr="004E3D37" w:rsidRDefault="008B1E2C" w:rsidP="000A68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...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8395E0" w14:textId="77777777" w:rsidR="008B1E2C" w:rsidRPr="004E3D37" w:rsidRDefault="008B1E2C" w:rsidP="000A68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...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195345" w14:textId="77777777" w:rsidR="008B1E2C" w:rsidRPr="004E3D37" w:rsidRDefault="008B1E2C" w:rsidP="000A68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...</w:t>
            </w:r>
          </w:p>
        </w:tc>
      </w:tr>
      <w:tr w:rsidR="008B1E2C" w:rsidRPr="004E3D37" w14:paraId="4CE80099" w14:textId="77777777" w:rsidTr="000A685E">
        <w:trPr>
          <w:trHeight w:val="283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6E227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 xml:space="preserve">              13   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ED6A5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208,33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D6808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242,05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CF0EB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450,38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34482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47291,71</w:t>
            </w:r>
          </w:p>
        </w:tc>
      </w:tr>
      <w:tr w:rsidR="008B1E2C" w:rsidRPr="004E3D37" w14:paraId="11CF3337" w14:textId="77777777" w:rsidTr="000A685E">
        <w:trPr>
          <w:trHeight w:val="283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BD175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 xml:space="preserve">              14   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F7A93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208,33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E4A04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233,22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A7BF5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441,55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22D42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47083,38</w:t>
            </w:r>
          </w:p>
        </w:tc>
      </w:tr>
      <w:tr w:rsidR="008B1E2C" w:rsidRPr="004E3D37" w14:paraId="5AB01302" w14:textId="77777777" w:rsidTr="000A685E">
        <w:trPr>
          <w:trHeight w:val="283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C90BB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 xml:space="preserve">              15   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94847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208,33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68650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239,93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B7F95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448,26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A4CC6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46875,05</w:t>
            </w:r>
          </w:p>
        </w:tc>
      </w:tr>
      <w:tr w:rsidR="008B1E2C" w:rsidRPr="004E3D37" w14:paraId="72D7860E" w14:textId="77777777" w:rsidTr="000A685E">
        <w:trPr>
          <w:trHeight w:val="283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60DB7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 xml:space="preserve">              16   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90517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208,33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51481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238,87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067D8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447,2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C67D0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46666,72</w:t>
            </w:r>
          </w:p>
        </w:tc>
      </w:tr>
      <w:tr w:rsidR="008B1E2C" w:rsidRPr="004E3D37" w14:paraId="6E4895C5" w14:textId="77777777" w:rsidTr="000A685E">
        <w:trPr>
          <w:trHeight w:val="283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EB741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 xml:space="preserve">              17   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90F4E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208,33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D033E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214,79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24E8B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423,12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C0F6D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46458,39</w:t>
            </w:r>
          </w:p>
        </w:tc>
      </w:tr>
      <w:tr w:rsidR="008B1E2C" w:rsidRPr="004E3D37" w14:paraId="625032BA" w14:textId="77777777" w:rsidTr="000A685E">
        <w:trPr>
          <w:trHeight w:val="283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6AA36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 xml:space="preserve">              18   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CDF5E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208,33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1D578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236,75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71889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445,08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52599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46250,06</w:t>
            </w:r>
          </w:p>
        </w:tc>
      </w:tr>
      <w:tr w:rsidR="008B1E2C" w:rsidRPr="004E3D37" w14:paraId="49733F0E" w14:textId="77777777" w:rsidTr="000A685E">
        <w:trPr>
          <w:trHeight w:val="283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6E2BC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 xml:space="preserve">              19   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25FB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208,33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EE64E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228,08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5E2D4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436,41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BA41A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46041,73</w:t>
            </w:r>
          </w:p>
        </w:tc>
      </w:tr>
      <w:tr w:rsidR="008B1E2C" w:rsidRPr="004E3D37" w14:paraId="2CCEB08B" w14:textId="77777777" w:rsidTr="000A685E">
        <w:trPr>
          <w:trHeight w:val="283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6CC1B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 xml:space="preserve">              20   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127B6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208,33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D4D47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234,62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A86AA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442,95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D1AEC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45833,4</w:t>
            </w:r>
          </w:p>
        </w:tc>
      </w:tr>
      <w:tr w:rsidR="008B1E2C" w:rsidRPr="004E3D37" w14:paraId="69B1D5F7" w14:textId="77777777" w:rsidTr="000A685E">
        <w:trPr>
          <w:trHeight w:val="283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7920D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 xml:space="preserve">              21   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AB021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208,33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38655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226,03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52208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434,36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73464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45625,07</w:t>
            </w:r>
          </w:p>
        </w:tc>
      </w:tr>
      <w:tr w:rsidR="008B1E2C" w:rsidRPr="004E3D37" w14:paraId="51A725A3" w14:textId="77777777" w:rsidTr="000A685E">
        <w:trPr>
          <w:trHeight w:val="283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A4576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 xml:space="preserve">              22   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7ACD1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208,33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D8572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232,5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5571B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440,83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B87D8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45416,74</w:t>
            </w:r>
          </w:p>
        </w:tc>
      </w:tr>
      <w:tr w:rsidR="008B1E2C" w:rsidRPr="004E3D37" w14:paraId="13CA8DCC" w14:textId="77777777" w:rsidTr="000A685E">
        <w:trPr>
          <w:trHeight w:val="283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BB296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 xml:space="preserve">              23   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EEC33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208,33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833D9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231,44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9E512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439,77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5CA32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45208,41</w:t>
            </w:r>
          </w:p>
        </w:tc>
      </w:tr>
      <w:tr w:rsidR="008B1E2C" w:rsidRPr="004E3D37" w14:paraId="16722737" w14:textId="77777777" w:rsidTr="000A685E">
        <w:trPr>
          <w:trHeight w:val="283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E9656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b/>
                <w:color w:val="000000"/>
                <w:sz w:val="20"/>
                <w:szCs w:val="20"/>
                <w:lang w:eastAsia="lt-LT"/>
              </w:rPr>
              <w:t xml:space="preserve">              24   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A492B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b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b/>
                <w:i/>
                <w:iCs/>
                <w:color w:val="000000"/>
                <w:sz w:val="20"/>
                <w:szCs w:val="20"/>
                <w:lang w:eastAsia="lt-LT"/>
              </w:rPr>
              <w:t>208,33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5CDFC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b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b/>
                <w:i/>
                <w:iCs/>
                <w:color w:val="000000"/>
                <w:sz w:val="20"/>
                <w:szCs w:val="20"/>
                <w:lang w:eastAsia="lt-LT"/>
              </w:rPr>
              <w:t>222,95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C34CE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b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b/>
                <w:i/>
                <w:iCs/>
                <w:color w:val="000000"/>
                <w:sz w:val="20"/>
                <w:szCs w:val="20"/>
                <w:lang w:eastAsia="lt-LT"/>
              </w:rPr>
              <w:t>431,28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2B121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b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b/>
                <w:i/>
                <w:iCs/>
                <w:color w:val="000000"/>
                <w:sz w:val="20"/>
                <w:szCs w:val="20"/>
                <w:lang w:eastAsia="lt-LT"/>
              </w:rPr>
              <w:t>45000,08</w:t>
            </w:r>
          </w:p>
        </w:tc>
      </w:tr>
      <w:tr w:rsidR="008B1E2C" w:rsidRPr="004E3D37" w14:paraId="36D7D29B" w14:textId="77777777" w:rsidTr="000A685E">
        <w:trPr>
          <w:trHeight w:val="283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35DC" w14:textId="77777777" w:rsidR="008B1E2C" w:rsidRPr="004E3D37" w:rsidRDefault="008B1E2C" w:rsidP="000A68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...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FA56" w14:textId="77777777" w:rsidR="008B1E2C" w:rsidRPr="004E3D37" w:rsidRDefault="008B1E2C" w:rsidP="000A68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...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7EAC" w14:textId="77777777" w:rsidR="008B1E2C" w:rsidRPr="004E3D37" w:rsidRDefault="008B1E2C" w:rsidP="000A68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...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66A0" w14:textId="77777777" w:rsidR="008B1E2C" w:rsidRPr="004E3D37" w:rsidRDefault="008B1E2C" w:rsidP="000A68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...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CF4E" w14:textId="77777777" w:rsidR="008B1E2C" w:rsidRPr="004E3D37" w:rsidRDefault="008B1E2C" w:rsidP="000A68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...</w:t>
            </w:r>
          </w:p>
        </w:tc>
      </w:tr>
      <w:tr w:rsidR="008B1E2C" w:rsidRPr="004E3D37" w14:paraId="3E8F00B9" w14:textId="77777777" w:rsidTr="000A685E">
        <w:trPr>
          <w:trHeight w:val="283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7541C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239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27ACE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208,33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E195D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2,12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FC72D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210,45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8BA46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209,13</w:t>
            </w:r>
          </w:p>
        </w:tc>
      </w:tr>
      <w:tr w:rsidR="008B1E2C" w:rsidRPr="004E3D37" w14:paraId="0E87D055" w14:textId="77777777" w:rsidTr="000A685E">
        <w:trPr>
          <w:trHeight w:val="283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1B8543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lt-LT"/>
              </w:rPr>
              <w:t>240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D41CD4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lt-LT"/>
              </w:rPr>
              <w:t>209,13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62C16A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lt-LT"/>
              </w:rPr>
              <w:t>1,03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A2D587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lt-LT"/>
              </w:rPr>
              <w:t>210,16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E66399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lt-LT"/>
              </w:rPr>
              <w:t>0</w:t>
            </w:r>
          </w:p>
        </w:tc>
      </w:tr>
      <w:tr w:rsidR="008B1E2C" w:rsidRPr="004E3D37" w14:paraId="4847C5C8" w14:textId="77777777" w:rsidTr="000A685E">
        <w:trPr>
          <w:trHeight w:val="283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00800" w14:textId="77777777" w:rsidR="008B1E2C" w:rsidRPr="004E3D37" w:rsidRDefault="008B1E2C" w:rsidP="000A685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lt-LT"/>
              </w:rPr>
            </w:pPr>
            <w:r w:rsidRPr="004E3D37">
              <w:rPr>
                <w:rFonts w:eastAsia="Times New Roman"/>
                <w:b/>
                <w:color w:val="000000"/>
                <w:sz w:val="20"/>
                <w:szCs w:val="20"/>
                <w:lang w:eastAsia="lt-LT"/>
              </w:rPr>
              <w:t>Iš viso: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FA78B" w14:textId="77777777" w:rsidR="008B1E2C" w:rsidRPr="004E3D37" w:rsidRDefault="008B1E2C" w:rsidP="000A685E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4E3D37">
              <w:rPr>
                <w:b/>
                <w:sz w:val="20"/>
                <w:szCs w:val="20"/>
              </w:rPr>
              <w:t>50000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B342C" w14:textId="77777777" w:rsidR="008B1E2C" w:rsidRPr="004E3D37" w:rsidRDefault="008B1E2C" w:rsidP="000A685E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4E3D37">
              <w:rPr>
                <w:b/>
                <w:sz w:val="20"/>
                <w:szCs w:val="20"/>
              </w:rPr>
              <w:t>29169,36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D4A0F" w14:textId="77777777" w:rsidR="008B1E2C" w:rsidRPr="004E3D37" w:rsidRDefault="008B1E2C" w:rsidP="000A685E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4E3D37">
              <w:rPr>
                <w:b/>
                <w:sz w:val="20"/>
                <w:szCs w:val="20"/>
              </w:rPr>
              <w:t>79169,36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05A0" w14:textId="77777777" w:rsidR="008B1E2C" w:rsidRPr="004E3D37" w:rsidRDefault="008B1E2C" w:rsidP="000A685E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lt-LT"/>
              </w:rPr>
            </w:pPr>
          </w:p>
        </w:tc>
      </w:tr>
    </w:tbl>
    <w:p w14:paraId="047B70D6" w14:textId="77777777" w:rsidR="008B1E2C" w:rsidRPr="004E3D37" w:rsidRDefault="008B1E2C" w:rsidP="008B1E2C">
      <w:pPr>
        <w:rPr>
          <w:sz w:val="20"/>
          <w:szCs w:val="20"/>
        </w:rPr>
      </w:pPr>
    </w:p>
    <w:p w14:paraId="0EA479CB" w14:textId="77777777" w:rsidR="008B1E2C" w:rsidRPr="004E3D37" w:rsidRDefault="008B1E2C" w:rsidP="008B1E2C">
      <w:pPr>
        <w:pStyle w:val="Caption"/>
        <w:keepNext/>
        <w:rPr>
          <w:b/>
          <w:color w:val="auto"/>
          <w:sz w:val="20"/>
          <w:szCs w:val="20"/>
        </w:rPr>
      </w:pPr>
      <w:r w:rsidRPr="004E3D37">
        <w:rPr>
          <w:b/>
          <w:color w:val="auto"/>
          <w:sz w:val="20"/>
          <w:szCs w:val="20"/>
        </w:rPr>
        <w:t xml:space="preserve">Lentelė </w:t>
      </w:r>
      <w:r>
        <w:rPr>
          <w:b/>
          <w:color w:val="auto"/>
          <w:sz w:val="20"/>
          <w:szCs w:val="20"/>
        </w:rPr>
        <w:t>6.</w:t>
      </w:r>
      <w:r w:rsidRPr="004E3D37">
        <w:rPr>
          <w:b/>
          <w:color w:val="auto"/>
          <w:sz w:val="20"/>
          <w:szCs w:val="20"/>
        </w:rPr>
        <w:t xml:space="preserve"> </w:t>
      </w:r>
      <w:r>
        <w:rPr>
          <w:b/>
          <w:color w:val="auto"/>
          <w:sz w:val="20"/>
          <w:szCs w:val="20"/>
        </w:rPr>
        <w:t>Kredito</w:t>
      </w:r>
      <w:r w:rsidRPr="004E3D37">
        <w:rPr>
          <w:b/>
          <w:color w:val="auto"/>
          <w:sz w:val="20"/>
          <w:szCs w:val="20"/>
        </w:rPr>
        <w:t xml:space="preserve"> mėnesinės įmokos</w:t>
      </w:r>
      <w:r>
        <w:rPr>
          <w:b/>
          <w:color w:val="auto"/>
          <w:sz w:val="20"/>
          <w:szCs w:val="20"/>
        </w:rPr>
        <w:t>,</w:t>
      </w:r>
      <w:r w:rsidRPr="004E3D37">
        <w:rPr>
          <w:b/>
          <w:color w:val="auto"/>
          <w:sz w:val="20"/>
          <w:szCs w:val="20"/>
        </w:rPr>
        <w:t xml:space="preserve"> jeigu</w:t>
      </w:r>
      <w:r>
        <w:rPr>
          <w:b/>
          <w:color w:val="auto"/>
          <w:sz w:val="20"/>
          <w:szCs w:val="20"/>
        </w:rPr>
        <w:t xml:space="preserve"> po pirmų metų</w:t>
      </w:r>
      <w:r w:rsidRPr="004E3D37">
        <w:rPr>
          <w:b/>
          <w:color w:val="auto"/>
          <w:sz w:val="20"/>
          <w:szCs w:val="20"/>
        </w:rPr>
        <w:t xml:space="preserve"> palūkanų norm</w:t>
      </w:r>
      <w:r>
        <w:rPr>
          <w:b/>
          <w:color w:val="auto"/>
          <w:sz w:val="20"/>
          <w:szCs w:val="20"/>
        </w:rPr>
        <w:t>a padidėtų 2 proc. p.</w:t>
      </w:r>
    </w:p>
    <w:tbl>
      <w:tblPr>
        <w:tblW w:w="9528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1219"/>
        <w:gridCol w:w="1163"/>
        <w:gridCol w:w="1191"/>
        <w:gridCol w:w="1191"/>
        <w:gridCol w:w="1191"/>
        <w:gridCol w:w="1191"/>
        <w:gridCol w:w="1191"/>
      </w:tblGrid>
      <w:tr w:rsidR="008B1E2C" w:rsidRPr="004E3D37" w14:paraId="70CC8A04" w14:textId="77777777" w:rsidTr="000A685E">
        <w:trPr>
          <w:trHeight w:val="779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10F20" w14:textId="77777777" w:rsidR="008B1E2C" w:rsidRPr="00D12016" w:rsidRDefault="008B1E2C" w:rsidP="000A6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lt-LT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lt-LT"/>
              </w:rPr>
              <w:t>Kredito</w:t>
            </w:r>
            <w:r w:rsidRPr="00D12016">
              <w:rPr>
                <w:rFonts w:eastAsia="Times New Roman"/>
                <w:b/>
                <w:bCs/>
                <w:sz w:val="18"/>
                <w:szCs w:val="18"/>
                <w:lang w:eastAsia="lt-LT"/>
              </w:rPr>
              <w:t xml:space="preserve"> mokėjimo būdas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292D" w14:textId="77777777" w:rsidR="008B1E2C" w:rsidRPr="00D12016" w:rsidRDefault="008B1E2C" w:rsidP="000A685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lt-LT"/>
              </w:rPr>
            </w:pPr>
            <w:r w:rsidRPr="00D12016">
              <w:rPr>
                <w:rFonts w:eastAsia="Times New Roman"/>
                <w:b/>
                <w:bCs/>
                <w:sz w:val="18"/>
                <w:szCs w:val="18"/>
                <w:lang w:eastAsia="lt-LT"/>
              </w:rPr>
              <w:t xml:space="preserve">Vid. mėnesinė įmoka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lt-LT"/>
              </w:rPr>
              <w:t>pirm</w:t>
            </w:r>
            <w:r w:rsidRPr="00D12016">
              <w:rPr>
                <w:rFonts w:eastAsia="Times New Roman"/>
                <w:b/>
                <w:bCs/>
                <w:sz w:val="18"/>
                <w:szCs w:val="18"/>
                <w:lang w:eastAsia="lt-LT"/>
              </w:rPr>
              <w:t>ais metais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E6211" w14:textId="77777777" w:rsidR="008B1E2C" w:rsidRPr="00D12016" w:rsidRDefault="008B1E2C" w:rsidP="000A6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lt-LT"/>
              </w:rPr>
            </w:pPr>
            <w:r w:rsidRPr="00D12016">
              <w:rPr>
                <w:rFonts w:eastAsia="Times New Roman"/>
                <w:b/>
                <w:bCs/>
                <w:sz w:val="18"/>
                <w:szCs w:val="18"/>
                <w:lang w:eastAsia="lt-LT"/>
              </w:rPr>
              <w:t>Vid. mėnesinė įmoka 2-ais metais</w:t>
            </w:r>
          </w:p>
        </w:tc>
        <w:tc>
          <w:tcPr>
            <w:tcW w:w="11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4DAED" w14:textId="77777777" w:rsidR="008B1E2C" w:rsidRPr="00D12016" w:rsidRDefault="008B1E2C" w:rsidP="000A6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lt-LT"/>
              </w:rPr>
            </w:pPr>
            <w:r w:rsidRPr="00D12016">
              <w:rPr>
                <w:rFonts w:eastAsia="Times New Roman"/>
                <w:b/>
                <w:bCs/>
                <w:sz w:val="18"/>
                <w:szCs w:val="18"/>
                <w:lang w:eastAsia="lt-LT"/>
              </w:rPr>
              <w:t>Vid. mėnesinė įmoka 5-ais metais</w:t>
            </w:r>
          </w:p>
        </w:tc>
        <w:tc>
          <w:tcPr>
            <w:tcW w:w="11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F8B24" w14:textId="77777777" w:rsidR="008B1E2C" w:rsidRPr="00D12016" w:rsidRDefault="008B1E2C" w:rsidP="000A6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lt-LT"/>
              </w:rPr>
            </w:pPr>
            <w:r w:rsidRPr="00D12016">
              <w:rPr>
                <w:rFonts w:eastAsia="Times New Roman"/>
                <w:b/>
                <w:bCs/>
                <w:sz w:val="18"/>
                <w:szCs w:val="18"/>
                <w:lang w:eastAsia="lt-LT"/>
              </w:rPr>
              <w:t>Vid. mėnesinė įmoka 10-ais metais</w:t>
            </w:r>
          </w:p>
        </w:tc>
        <w:tc>
          <w:tcPr>
            <w:tcW w:w="11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329C424" w14:textId="77777777" w:rsidR="008B1E2C" w:rsidRPr="00D12016" w:rsidRDefault="008B1E2C" w:rsidP="000A685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lt-LT"/>
              </w:rPr>
            </w:pPr>
            <w:r w:rsidRPr="00D12016">
              <w:rPr>
                <w:rFonts w:eastAsia="Times New Roman"/>
                <w:b/>
                <w:bCs/>
                <w:sz w:val="18"/>
                <w:szCs w:val="18"/>
                <w:lang w:eastAsia="lt-LT"/>
              </w:rPr>
              <w:t>Vid. mėnesinė įmoka 15-ais metais</w:t>
            </w:r>
          </w:p>
        </w:tc>
        <w:tc>
          <w:tcPr>
            <w:tcW w:w="11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456474F" w14:textId="77777777" w:rsidR="008B1E2C" w:rsidRPr="00D12016" w:rsidRDefault="008B1E2C" w:rsidP="000A685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lt-LT"/>
              </w:rPr>
            </w:pPr>
            <w:r w:rsidRPr="00D12016">
              <w:rPr>
                <w:rFonts w:eastAsia="Times New Roman"/>
                <w:b/>
                <w:bCs/>
                <w:sz w:val="18"/>
                <w:szCs w:val="18"/>
                <w:lang w:eastAsia="lt-LT"/>
              </w:rPr>
              <w:t>Vid. mėnesinė įmoka 20-ais metais</w:t>
            </w:r>
          </w:p>
        </w:tc>
        <w:tc>
          <w:tcPr>
            <w:tcW w:w="11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CFA7E50" w14:textId="77777777" w:rsidR="008B1E2C" w:rsidRPr="00D12016" w:rsidRDefault="008B1E2C" w:rsidP="000A6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lt-LT"/>
              </w:rPr>
            </w:pPr>
            <w:r w:rsidRPr="00D12016">
              <w:rPr>
                <w:rFonts w:eastAsia="Times New Roman"/>
                <w:b/>
                <w:bCs/>
                <w:sz w:val="18"/>
                <w:szCs w:val="18"/>
                <w:lang w:eastAsia="lt-LT"/>
              </w:rPr>
              <w:t>Iš viso</w:t>
            </w:r>
          </w:p>
        </w:tc>
      </w:tr>
      <w:tr w:rsidR="008B1E2C" w:rsidRPr="004E3D37" w14:paraId="269A2E93" w14:textId="77777777" w:rsidTr="000A685E">
        <w:trPr>
          <w:trHeight w:val="433"/>
        </w:trPr>
        <w:tc>
          <w:tcPr>
            <w:tcW w:w="1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7BC2D" w14:textId="77777777" w:rsidR="008B1E2C" w:rsidRPr="00D12016" w:rsidRDefault="008B1E2C" w:rsidP="000A6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lt-LT"/>
              </w:rPr>
            </w:pPr>
            <w:r w:rsidRPr="00D12016">
              <w:rPr>
                <w:rFonts w:eastAsia="Times New Roman"/>
                <w:sz w:val="18"/>
                <w:szCs w:val="18"/>
                <w:lang w:eastAsia="lt-LT"/>
              </w:rPr>
              <w:t>Anuitetas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0CF2" w14:textId="77777777" w:rsidR="008B1E2C" w:rsidRPr="00D12016" w:rsidRDefault="008B1E2C" w:rsidP="000A6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lt-LT"/>
              </w:rPr>
            </w:pPr>
            <w:r w:rsidRPr="00D12016">
              <w:rPr>
                <w:rFonts w:eastAsia="Times New Roman"/>
                <w:color w:val="000000"/>
                <w:sz w:val="18"/>
                <w:szCs w:val="18"/>
                <w:lang w:eastAsia="lt-LT"/>
              </w:rPr>
              <w:t>302,99 Eur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C90D5" w14:textId="77777777" w:rsidR="008B1E2C" w:rsidRPr="00D12016" w:rsidRDefault="008B1E2C" w:rsidP="000A6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lt-LT"/>
              </w:rPr>
            </w:pPr>
            <w:r w:rsidRPr="00D12016">
              <w:rPr>
                <w:rFonts w:eastAsia="Times New Roman"/>
                <w:sz w:val="18"/>
                <w:szCs w:val="18"/>
                <w:lang w:eastAsia="lt-LT"/>
              </w:rPr>
              <w:t>355,82 Eur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D0B08" w14:textId="77777777" w:rsidR="008B1E2C" w:rsidRPr="00D12016" w:rsidRDefault="008B1E2C" w:rsidP="000A6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lt-LT"/>
              </w:rPr>
            </w:pPr>
            <w:r w:rsidRPr="00D12016">
              <w:rPr>
                <w:rFonts w:eastAsia="Times New Roman"/>
                <w:sz w:val="18"/>
                <w:szCs w:val="18"/>
                <w:lang w:eastAsia="lt-LT"/>
              </w:rPr>
              <w:t>355,82 Eur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CE89C" w14:textId="77777777" w:rsidR="008B1E2C" w:rsidRPr="00D12016" w:rsidRDefault="008B1E2C" w:rsidP="000A6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lt-LT"/>
              </w:rPr>
            </w:pPr>
            <w:r w:rsidRPr="00D12016">
              <w:rPr>
                <w:rFonts w:eastAsia="Times New Roman"/>
                <w:sz w:val="18"/>
                <w:szCs w:val="18"/>
                <w:lang w:eastAsia="lt-LT"/>
              </w:rPr>
              <w:t>355,82 Eur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DB44CB6" w14:textId="77777777" w:rsidR="008B1E2C" w:rsidRPr="00D12016" w:rsidRDefault="008B1E2C" w:rsidP="000A6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lt-LT"/>
              </w:rPr>
            </w:pPr>
            <w:r w:rsidRPr="00D12016">
              <w:rPr>
                <w:rFonts w:eastAsia="Times New Roman"/>
                <w:sz w:val="18"/>
                <w:szCs w:val="18"/>
                <w:lang w:eastAsia="lt-LT"/>
              </w:rPr>
              <w:t>355,82 Eur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8EFCA1E" w14:textId="77777777" w:rsidR="008B1E2C" w:rsidRPr="00D12016" w:rsidRDefault="008B1E2C" w:rsidP="000A6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lt-LT"/>
              </w:rPr>
            </w:pPr>
            <w:r w:rsidRPr="00D12016">
              <w:rPr>
                <w:rFonts w:eastAsia="Times New Roman"/>
                <w:sz w:val="18"/>
                <w:szCs w:val="18"/>
                <w:lang w:eastAsia="lt-LT"/>
              </w:rPr>
              <w:t>358,94</w:t>
            </w:r>
            <w:r w:rsidRPr="00D12016" w:rsidDel="00FE545E">
              <w:rPr>
                <w:rFonts w:eastAsia="Times New Roman"/>
                <w:sz w:val="18"/>
                <w:szCs w:val="18"/>
                <w:lang w:eastAsia="lt-LT"/>
              </w:rPr>
              <w:t xml:space="preserve"> </w:t>
            </w:r>
            <w:r w:rsidRPr="00D12016">
              <w:rPr>
                <w:rFonts w:eastAsia="Times New Roman"/>
                <w:sz w:val="18"/>
                <w:szCs w:val="18"/>
                <w:lang w:eastAsia="lt-LT"/>
              </w:rPr>
              <w:t>Eur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229BF3B" w14:textId="77777777" w:rsidR="008B1E2C" w:rsidRPr="00D12016" w:rsidRDefault="008B1E2C" w:rsidP="000A6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lt-LT"/>
              </w:rPr>
            </w:pPr>
            <w:r w:rsidRPr="00D12016">
              <w:rPr>
                <w:rFonts w:eastAsia="Times New Roman"/>
                <w:sz w:val="18"/>
                <w:szCs w:val="18"/>
                <w:lang w:eastAsia="lt-LT"/>
              </w:rPr>
              <w:t>84800,30 Eur</w:t>
            </w:r>
          </w:p>
        </w:tc>
      </w:tr>
      <w:tr w:rsidR="008B1E2C" w:rsidRPr="004E3D37" w14:paraId="67D124AA" w14:textId="77777777" w:rsidTr="000A685E">
        <w:trPr>
          <w:trHeight w:val="368"/>
        </w:trPr>
        <w:tc>
          <w:tcPr>
            <w:tcW w:w="1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985B6" w14:textId="77777777" w:rsidR="008B1E2C" w:rsidRPr="00D12016" w:rsidRDefault="008B1E2C" w:rsidP="000A6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lt-LT"/>
              </w:rPr>
            </w:pPr>
            <w:r w:rsidRPr="00D12016">
              <w:rPr>
                <w:rFonts w:eastAsia="Times New Roman"/>
                <w:sz w:val="18"/>
                <w:szCs w:val="18"/>
                <w:lang w:eastAsia="lt-LT"/>
              </w:rPr>
              <w:t>Linijinis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5576" w14:textId="77777777" w:rsidR="008B1E2C" w:rsidRPr="00D12016" w:rsidRDefault="008B1E2C" w:rsidP="000A685E">
            <w:pPr>
              <w:spacing w:after="0"/>
              <w:jc w:val="center"/>
              <w:rPr>
                <w:sz w:val="18"/>
                <w:szCs w:val="18"/>
              </w:rPr>
            </w:pPr>
            <w:r w:rsidRPr="004C3D1F">
              <w:rPr>
                <w:sz w:val="18"/>
                <w:szCs w:val="18"/>
              </w:rPr>
              <w:t>371,63 Eur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A4823" w14:textId="77777777" w:rsidR="008B1E2C" w:rsidRPr="00D12016" w:rsidRDefault="008B1E2C" w:rsidP="000A685E">
            <w:pPr>
              <w:spacing w:after="0"/>
              <w:jc w:val="center"/>
              <w:rPr>
                <w:sz w:val="18"/>
                <w:szCs w:val="18"/>
              </w:rPr>
            </w:pPr>
            <w:r w:rsidRPr="00D12016">
              <w:rPr>
                <w:sz w:val="18"/>
                <w:szCs w:val="18"/>
              </w:rPr>
              <w:t>440,10 Eur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E505C" w14:textId="77777777" w:rsidR="008B1E2C" w:rsidRPr="00D12016" w:rsidRDefault="008B1E2C" w:rsidP="000A685E">
            <w:pPr>
              <w:spacing w:after="0"/>
              <w:jc w:val="center"/>
              <w:rPr>
                <w:sz w:val="18"/>
                <w:szCs w:val="18"/>
              </w:rPr>
            </w:pPr>
            <w:r w:rsidRPr="00D12016">
              <w:rPr>
                <w:sz w:val="18"/>
                <w:szCs w:val="18"/>
              </w:rPr>
              <w:t>403,14 Eur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DDE1F" w14:textId="77777777" w:rsidR="008B1E2C" w:rsidRPr="00D12016" w:rsidRDefault="008B1E2C" w:rsidP="000A685E">
            <w:pPr>
              <w:spacing w:after="0"/>
              <w:jc w:val="center"/>
              <w:rPr>
                <w:sz w:val="18"/>
                <w:szCs w:val="18"/>
              </w:rPr>
            </w:pPr>
            <w:r w:rsidRPr="00D12016">
              <w:rPr>
                <w:sz w:val="18"/>
                <w:szCs w:val="18"/>
              </w:rPr>
              <w:t>340,10 Eur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32F191D" w14:textId="77777777" w:rsidR="008B1E2C" w:rsidRPr="00D12016" w:rsidRDefault="008B1E2C" w:rsidP="000A685E">
            <w:pPr>
              <w:spacing w:after="0"/>
              <w:jc w:val="center"/>
              <w:rPr>
                <w:sz w:val="18"/>
                <w:szCs w:val="18"/>
              </w:rPr>
            </w:pPr>
            <w:r w:rsidRPr="00D12016">
              <w:rPr>
                <w:sz w:val="18"/>
                <w:szCs w:val="18"/>
              </w:rPr>
              <w:t>277,60 Eur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0E33CCF" w14:textId="77777777" w:rsidR="008B1E2C" w:rsidRPr="00D12016" w:rsidRDefault="008B1E2C" w:rsidP="000A685E">
            <w:pPr>
              <w:spacing w:after="0"/>
              <w:jc w:val="center"/>
              <w:rPr>
                <w:sz w:val="18"/>
                <w:szCs w:val="18"/>
              </w:rPr>
            </w:pPr>
            <w:r w:rsidRPr="00D12016">
              <w:rPr>
                <w:sz w:val="18"/>
                <w:szCs w:val="18"/>
              </w:rPr>
              <w:t>215,17 Eur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8A0B1C9" w14:textId="77777777" w:rsidR="008B1E2C" w:rsidRPr="00D12016" w:rsidRDefault="008B1E2C" w:rsidP="000A685E">
            <w:pPr>
              <w:keepNext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lt-LT"/>
              </w:rPr>
            </w:pPr>
            <w:r w:rsidRPr="00D12016">
              <w:rPr>
                <w:rFonts w:eastAsia="Times New Roman"/>
                <w:sz w:val="18"/>
                <w:szCs w:val="18"/>
                <w:lang w:eastAsia="lt-LT"/>
              </w:rPr>
              <w:t>79169,36 Eur</w:t>
            </w:r>
          </w:p>
        </w:tc>
      </w:tr>
    </w:tbl>
    <w:p w14:paraId="5D7873E2" w14:textId="77777777" w:rsidR="008B1E2C" w:rsidRDefault="008B1E2C" w:rsidP="008B1E2C">
      <w:pPr>
        <w:pStyle w:val="ListParagraph"/>
        <w:spacing w:after="120" w:line="240" w:lineRule="auto"/>
        <w:ind w:left="502"/>
        <w:contextualSpacing w:val="0"/>
        <w:jc w:val="both"/>
        <w:rPr>
          <w:rStyle w:val="tlid-translation"/>
          <w:sz w:val="22"/>
          <w:szCs w:val="20"/>
        </w:rPr>
      </w:pPr>
    </w:p>
    <w:p w14:paraId="7102950B" w14:textId="77777777" w:rsidR="008B1E2C" w:rsidRPr="00485883" w:rsidRDefault="008B1E2C" w:rsidP="008B1E2C">
      <w:pPr>
        <w:tabs>
          <w:tab w:val="left" w:pos="6955"/>
        </w:tabs>
        <w:spacing w:after="120" w:line="240" w:lineRule="auto"/>
        <w:jc w:val="both"/>
        <w:rPr>
          <w:rStyle w:val="tlid-translation"/>
          <w:b/>
          <w:sz w:val="22"/>
          <w:szCs w:val="20"/>
        </w:rPr>
      </w:pPr>
      <w:r w:rsidRPr="00485883">
        <w:rPr>
          <w:rStyle w:val="tlid-translation"/>
          <w:b/>
          <w:sz w:val="22"/>
          <w:szCs w:val="20"/>
        </w:rPr>
        <w:t>Jei nustatytai dienai indekso nebus galima naudoti</w:t>
      </w:r>
      <w:r>
        <w:rPr>
          <w:rStyle w:val="tlid-translation"/>
          <w:b/>
          <w:sz w:val="22"/>
          <w:szCs w:val="20"/>
        </w:rPr>
        <w:tab/>
      </w:r>
    </w:p>
    <w:p w14:paraId="0B1CAF13" w14:textId="77777777" w:rsidR="008B1E2C" w:rsidRPr="00485883" w:rsidRDefault="008B1E2C" w:rsidP="008B1E2C">
      <w:pPr>
        <w:spacing w:after="120" w:line="240" w:lineRule="auto"/>
        <w:jc w:val="both"/>
        <w:rPr>
          <w:rStyle w:val="tlid-translation"/>
          <w:sz w:val="20"/>
          <w:szCs w:val="20"/>
        </w:rPr>
      </w:pPr>
      <w:r w:rsidRPr="00485883">
        <w:rPr>
          <w:rStyle w:val="tlid-translation"/>
          <w:sz w:val="20"/>
          <w:szCs w:val="20"/>
        </w:rPr>
        <w:t xml:space="preserve">Jei </w:t>
      </w:r>
      <w:r>
        <w:rPr>
          <w:rStyle w:val="tlid-translation"/>
          <w:sz w:val="20"/>
          <w:szCs w:val="20"/>
        </w:rPr>
        <w:t>sutarties kintamai palūkanų daliai nustatyti naudojamas indeksas</w:t>
      </w:r>
      <w:r w:rsidRPr="00485883">
        <w:rPr>
          <w:rStyle w:val="tlid-translation"/>
          <w:sz w:val="20"/>
          <w:szCs w:val="20"/>
        </w:rPr>
        <w:t xml:space="preserve"> tam tikrai dienai nėra paskelbta</w:t>
      </w:r>
      <w:r>
        <w:rPr>
          <w:rStyle w:val="tlid-translation"/>
          <w:sz w:val="20"/>
          <w:szCs w:val="20"/>
        </w:rPr>
        <w:t>s</w:t>
      </w:r>
      <w:r w:rsidRPr="00485883">
        <w:rPr>
          <w:rStyle w:val="tlid-translation"/>
          <w:sz w:val="20"/>
          <w:szCs w:val="20"/>
        </w:rPr>
        <w:t xml:space="preserve"> ar nustatyta</w:t>
      </w:r>
      <w:r>
        <w:rPr>
          <w:rStyle w:val="tlid-translation"/>
          <w:sz w:val="20"/>
          <w:szCs w:val="20"/>
        </w:rPr>
        <w:t>s</w:t>
      </w:r>
      <w:r w:rsidRPr="00485883">
        <w:rPr>
          <w:rStyle w:val="tlid-translation"/>
          <w:sz w:val="20"/>
          <w:szCs w:val="20"/>
        </w:rPr>
        <w:t>, arba jei dėl nenumatytų įvykių jo trumpajame laikotarpyje negal</w:t>
      </w:r>
      <w:r>
        <w:rPr>
          <w:rStyle w:val="tlid-translation"/>
          <w:sz w:val="20"/>
          <w:szCs w:val="20"/>
        </w:rPr>
        <w:t>ėsime</w:t>
      </w:r>
      <w:r w:rsidRPr="00485883">
        <w:rPr>
          <w:rStyle w:val="tlid-translation"/>
          <w:sz w:val="20"/>
          <w:szCs w:val="20"/>
        </w:rPr>
        <w:t xml:space="preserve"> naudoti, tokiu atveju kintamai palūkanų normai nustatyti bus naudojama paskutinė žinoma </w:t>
      </w:r>
      <w:r>
        <w:rPr>
          <w:rStyle w:val="tlid-translation"/>
          <w:sz w:val="20"/>
          <w:szCs w:val="20"/>
        </w:rPr>
        <w:t xml:space="preserve">indekso </w:t>
      </w:r>
      <w:r w:rsidRPr="00485883">
        <w:rPr>
          <w:rStyle w:val="tlid-translation"/>
          <w:sz w:val="20"/>
          <w:szCs w:val="20"/>
        </w:rPr>
        <w:t>reikšmė.</w:t>
      </w:r>
    </w:p>
    <w:p w14:paraId="66752AEA" w14:textId="77777777" w:rsidR="008B1E2C" w:rsidRPr="00485883" w:rsidRDefault="008B1E2C" w:rsidP="008B1E2C">
      <w:pPr>
        <w:spacing w:after="120" w:line="240" w:lineRule="auto"/>
        <w:jc w:val="both"/>
        <w:rPr>
          <w:rStyle w:val="tlid-translation"/>
          <w:b/>
          <w:sz w:val="22"/>
          <w:szCs w:val="20"/>
        </w:rPr>
      </w:pPr>
      <w:r w:rsidRPr="00485883">
        <w:rPr>
          <w:rStyle w:val="tlid-translation"/>
          <w:b/>
          <w:sz w:val="22"/>
          <w:szCs w:val="20"/>
        </w:rPr>
        <w:t>Jei dėl nenumatytų aplinkybių toliau nebus galima naudoti sutarties palūkanų normai nustatyti naudojamo indekso</w:t>
      </w:r>
    </w:p>
    <w:p w14:paraId="37FC49FF" w14:textId="77777777" w:rsidR="008B1E2C" w:rsidRPr="00237690" w:rsidRDefault="008B1E2C" w:rsidP="008B1E2C">
      <w:pPr>
        <w:jc w:val="both"/>
      </w:pPr>
      <w:r>
        <w:rPr>
          <w:rStyle w:val="tlid-translation"/>
          <w:sz w:val="20"/>
          <w:szCs w:val="20"/>
        </w:rPr>
        <w:t xml:space="preserve">Jei indeksas ilgiau nei tris mėnesius nebūtų skelbiamas arba sužinojus, </w:t>
      </w:r>
      <w:r w:rsidRPr="00796A3C">
        <w:rPr>
          <w:rStyle w:val="tlid-translation"/>
          <w:sz w:val="20"/>
          <w:szCs w:val="20"/>
        </w:rPr>
        <w:t xml:space="preserve">kad ateityje bus nutraukiamas lyginamojo indekso skaičiavimas  ir teikimas, indekso nebebus leidžiama naudoti finansinėse sutartyse arba indekso nustatymo metodika turės esminių pakeitimų, </w:t>
      </w:r>
      <w:r>
        <w:rPr>
          <w:rStyle w:val="tlid-translation"/>
          <w:sz w:val="20"/>
          <w:szCs w:val="20"/>
        </w:rPr>
        <w:t>dėl kurių toliau nebūtų galima naudoti indekso, apie tai</w:t>
      </w:r>
      <w:r w:rsidRPr="00796A3C">
        <w:rPr>
          <w:rStyle w:val="tlid-translation"/>
          <w:sz w:val="20"/>
          <w:szCs w:val="20"/>
        </w:rPr>
        <w:t xml:space="preserve"> </w:t>
      </w:r>
      <w:r w:rsidRPr="00485883">
        <w:rPr>
          <w:rStyle w:val="tlid-translation"/>
          <w:sz w:val="20"/>
          <w:szCs w:val="20"/>
        </w:rPr>
        <w:t>informuo</w:t>
      </w:r>
      <w:r>
        <w:rPr>
          <w:rStyle w:val="tlid-translation"/>
          <w:sz w:val="20"/>
          <w:szCs w:val="20"/>
        </w:rPr>
        <w:t>sime</w:t>
      </w:r>
      <w:r w:rsidRPr="00485883">
        <w:rPr>
          <w:rStyle w:val="tlid-translation"/>
          <w:sz w:val="20"/>
          <w:szCs w:val="20"/>
        </w:rPr>
        <w:t xml:space="preserve"> narius ir klientus, kurių finansinės sutartys ir finansinės priemonės bus paveiktos. </w:t>
      </w:r>
      <w:r>
        <w:rPr>
          <w:rStyle w:val="tlid-translation"/>
          <w:sz w:val="20"/>
          <w:szCs w:val="20"/>
        </w:rPr>
        <w:t>Vietoje</w:t>
      </w:r>
      <w:r w:rsidRPr="00485883">
        <w:rPr>
          <w:rStyle w:val="tlid-translation"/>
          <w:sz w:val="20"/>
          <w:szCs w:val="20"/>
        </w:rPr>
        <w:t xml:space="preserve"> </w:t>
      </w:r>
      <w:r>
        <w:rPr>
          <w:rStyle w:val="tlid-translation"/>
          <w:sz w:val="20"/>
          <w:szCs w:val="20"/>
        </w:rPr>
        <w:t xml:space="preserve">sutartyje kintamai palūkanų daliai nustatyti naudojamo indekso nustatysime naują pagrįstą kintamos palūkanų dalies indeksą ir apie tai, </w:t>
      </w:r>
      <w:r w:rsidRPr="004957D8">
        <w:rPr>
          <w:sz w:val="20"/>
          <w:szCs w:val="20"/>
        </w:rPr>
        <w:t xml:space="preserve">ne vėliau kaip 60 dienų prieš pakaitinio </w:t>
      </w:r>
      <w:r>
        <w:rPr>
          <w:sz w:val="20"/>
          <w:szCs w:val="20"/>
        </w:rPr>
        <w:t xml:space="preserve">indekso </w:t>
      </w:r>
      <w:r w:rsidRPr="004957D8">
        <w:rPr>
          <w:sz w:val="20"/>
          <w:szCs w:val="20"/>
        </w:rPr>
        <w:t>naudojimo pradžią, informuo</w:t>
      </w:r>
      <w:r>
        <w:rPr>
          <w:sz w:val="20"/>
          <w:szCs w:val="20"/>
        </w:rPr>
        <w:t>sime</w:t>
      </w:r>
      <w:r w:rsidRPr="004957D8">
        <w:rPr>
          <w:sz w:val="20"/>
          <w:szCs w:val="20"/>
        </w:rPr>
        <w:t xml:space="preserve"> narius ir klientus, kurių finansinės sutartys bus paveiktos.</w:t>
      </w:r>
      <w:r>
        <w:rPr>
          <w:sz w:val="20"/>
          <w:szCs w:val="20"/>
        </w:rPr>
        <w:t xml:space="preserve"> G</w:t>
      </w:r>
      <w:r w:rsidRPr="004957D8">
        <w:rPr>
          <w:sz w:val="20"/>
          <w:szCs w:val="20"/>
        </w:rPr>
        <w:t>avę pranešimą, tur</w:t>
      </w:r>
      <w:r>
        <w:rPr>
          <w:sz w:val="20"/>
          <w:szCs w:val="20"/>
        </w:rPr>
        <w:t>ėsite</w:t>
      </w:r>
      <w:r w:rsidRPr="004957D8">
        <w:rPr>
          <w:sz w:val="20"/>
          <w:szCs w:val="20"/>
        </w:rPr>
        <w:t xml:space="preserve"> teisę per </w:t>
      </w:r>
      <w:r>
        <w:rPr>
          <w:sz w:val="20"/>
          <w:szCs w:val="20"/>
        </w:rPr>
        <w:t>15</w:t>
      </w:r>
      <w:r w:rsidRPr="004957D8">
        <w:rPr>
          <w:sz w:val="20"/>
          <w:szCs w:val="20"/>
        </w:rPr>
        <w:t xml:space="preserve"> dienų, apie tai pranešę</w:t>
      </w:r>
      <w:r w:rsidRPr="0040246B">
        <w:rPr>
          <w:sz w:val="20"/>
          <w:szCs w:val="20"/>
        </w:rPr>
        <w:t xml:space="preserve"> </w:t>
      </w:r>
      <w:r>
        <w:rPr>
          <w:sz w:val="20"/>
          <w:szCs w:val="20"/>
        </w:rPr>
        <w:t>raštu</w:t>
      </w:r>
      <w:r w:rsidRPr="004957D8">
        <w:rPr>
          <w:sz w:val="20"/>
          <w:szCs w:val="20"/>
        </w:rPr>
        <w:t>,</w:t>
      </w:r>
      <w:r>
        <w:rPr>
          <w:sz w:val="20"/>
          <w:szCs w:val="20"/>
        </w:rPr>
        <w:t xml:space="preserve"> nutraukti sutartį ir iš anksto </w:t>
      </w:r>
      <w:r w:rsidRPr="004957D8">
        <w:rPr>
          <w:sz w:val="20"/>
          <w:szCs w:val="20"/>
        </w:rPr>
        <w:t>grąžinti kreditą bei kitas mokėtinas sumas</w:t>
      </w:r>
      <w:r>
        <w:rPr>
          <w:sz w:val="20"/>
          <w:szCs w:val="20"/>
        </w:rPr>
        <w:t xml:space="preserve">. Tokiu atveju, per 15 dienų nutraukus sutartį, išankstinio kredito grąžinimo mokestis nebus taikomas. </w:t>
      </w:r>
    </w:p>
    <w:p w14:paraId="64AF8032" w14:textId="77777777" w:rsidR="008B1E2C" w:rsidRPr="00237690" w:rsidRDefault="008B1E2C" w:rsidP="008B1E2C">
      <w:pPr>
        <w:rPr>
          <w:sz w:val="20"/>
        </w:rPr>
      </w:pPr>
    </w:p>
    <w:p w14:paraId="3BD5DFB9" w14:textId="77777777" w:rsidR="008B1E2C" w:rsidRPr="00237690" w:rsidRDefault="008B1E2C" w:rsidP="008B1E2C">
      <w:pPr>
        <w:rPr>
          <w:rStyle w:val="tlid-translation"/>
          <w:sz w:val="20"/>
          <w:lang w:val="en-US"/>
        </w:rPr>
      </w:pPr>
    </w:p>
    <w:p w14:paraId="16F482B8" w14:textId="77777777" w:rsidR="008B1E2C" w:rsidRDefault="008B1E2C" w:rsidP="008B1E2C">
      <w:pPr>
        <w:jc w:val="both"/>
        <w:rPr>
          <w:b/>
          <w:sz w:val="22"/>
          <w:szCs w:val="20"/>
        </w:rPr>
      </w:pPr>
      <w:r w:rsidRPr="00A43ED4">
        <w:rPr>
          <w:b/>
          <w:sz w:val="22"/>
          <w:szCs w:val="20"/>
        </w:rPr>
        <w:lastRenderedPageBreak/>
        <w:t xml:space="preserve">Užsienio </w:t>
      </w:r>
      <w:r>
        <w:rPr>
          <w:b/>
          <w:sz w:val="22"/>
          <w:szCs w:val="20"/>
        </w:rPr>
        <w:t>v</w:t>
      </w:r>
      <w:r w:rsidRPr="00A43ED4">
        <w:rPr>
          <w:b/>
          <w:sz w:val="22"/>
          <w:szCs w:val="20"/>
        </w:rPr>
        <w:t>aliutų kursų pasikeitimai</w:t>
      </w:r>
    </w:p>
    <w:p w14:paraId="3D477D66" w14:textId="77777777" w:rsidR="008B1E2C" w:rsidRPr="00237690" w:rsidRDefault="008B1E2C" w:rsidP="008B1E2C">
      <w:pPr>
        <w:jc w:val="both"/>
        <w:rPr>
          <w:sz w:val="20"/>
          <w:szCs w:val="20"/>
        </w:rPr>
      </w:pPr>
      <w:r w:rsidRPr="00237690">
        <w:rPr>
          <w:sz w:val="20"/>
          <w:szCs w:val="20"/>
        </w:rPr>
        <w:t xml:space="preserve">Jeigu imate </w:t>
      </w:r>
      <w:r>
        <w:rPr>
          <w:sz w:val="20"/>
          <w:szCs w:val="20"/>
        </w:rPr>
        <w:t>kreditą</w:t>
      </w:r>
      <w:r w:rsidRPr="00237690">
        <w:rPr>
          <w:sz w:val="20"/>
          <w:szCs w:val="20"/>
        </w:rPr>
        <w:t xml:space="preserve"> kita nei </w:t>
      </w:r>
      <w:r>
        <w:rPr>
          <w:sz w:val="20"/>
          <w:szCs w:val="20"/>
        </w:rPr>
        <w:t>J</w:t>
      </w:r>
      <w:r w:rsidRPr="00237690">
        <w:rPr>
          <w:sz w:val="20"/>
          <w:szCs w:val="20"/>
        </w:rPr>
        <w:t xml:space="preserve">ūsų gaunamos pajamos valiuta, be galimų palūkanų normos pokyčių, taip pat turėtumėte atsižvelgti į tai, kad neigiamas užsienio valiutos kurso pasikeitimas gali reikšmingai padidinti </w:t>
      </w:r>
      <w:r>
        <w:rPr>
          <w:sz w:val="20"/>
          <w:szCs w:val="20"/>
        </w:rPr>
        <w:t>J</w:t>
      </w:r>
      <w:r w:rsidRPr="00237690">
        <w:rPr>
          <w:sz w:val="20"/>
          <w:szCs w:val="20"/>
        </w:rPr>
        <w:t xml:space="preserve">ūsų pajamų dalį, kurią turėsite skirti </w:t>
      </w:r>
      <w:r>
        <w:rPr>
          <w:sz w:val="20"/>
          <w:szCs w:val="20"/>
        </w:rPr>
        <w:t>kredito</w:t>
      </w:r>
      <w:r w:rsidRPr="00237690">
        <w:rPr>
          <w:sz w:val="20"/>
          <w:szCs w:val="20"/>
        </w:rPr>
        <w:t xml:space="preserve"> įsipareigojimams padengti. </w:t>
      </w:r>
    </w:p>
    <w:p w14:paraId="7AA28080" w14:textId="77777777" w:rsidR="008B1E2C" w:rsidRPr="00237690" w:rsidRDefault="008B1E2C" w:rsidP="008B1E2C">
      <w:pPr>
        <w:jc w:val="both"/>
        <w:rPr>
          <w:b/>
          <w:sz w:val="20"/>
          <w:szCs w:val="20"/>
        </w:rPr>
      </w:pPr>
      <w:r w:rsidRPr="00237690">
        <w:rPr>
          <w:b/>
          <w:sz w:val="20"/>
          <w:szCs w:val="20"/>
        </w:rPr>
        <w:t>Pastaba</w:t>
      </w:r>
    </w:p>
    <w:p w14:paraId="4728B585" w14:textId="7AAA2908" w:rsidR="008B1E2C" w:rsidRPr="00237690" w:rsidRDefault="008B1E2C" w:rsidP="008B1E2C">
      <w:pPr>
        <w:jc w:val="both"/>
        <w:rPr>
          <w:sz w:val="20"/>
          <w:szCs w:val="20"/>
        </w:rPr>
      </w:pPr>
      <w:r w:rsidRPr="00237690">
        <w:rPr>
          <w:sz w:val="20"/>
          <w:szCs w:val="20"/>
        </w:rPr>
        <w:t xml:space="preserve">Kredito grąžinimo ir palūkanų mokėjimo grafikuose nurodytos sumos yra pavyzdinio tipo ir </w:t>
      </w:r>
      <w:r>
        <w:rPr>
          <w:sz w:val="20"/>
          <w:szCs w:val="20"/>
        </w:rPr>
        <w:t>neatiti</w:t>
      </w:r>
      <w:r w:rsidRPr="00237690">
        <w:rPr>
          <w:sz w:val="20"/>
          <w:szCs w:val="20"/>
        </w:rPr>
        <w:t>k</w:t>
      </w:r>
      <w:r>
        <w:rPr>
          <w:sz w:val="20"/>
          <w:szCs w:val="20"/>
        </w:rPr>
        <w:t>s</w:t>
      </w:r>
      <w:r w:rsidRPr="00237690">
        <w:rPr>
          <w:sz w:val="20"/>
          <w:szCs w:val="20"/>
        </w:rPr>
        <w:t xml:space="preserve"> Jūsų kreditui sudaryto kredito grąžinimo ir palūkanų mokėjimo grafiko.</w:t>
      </w:r>
    </w:p>
    <w:p w14:paraId="7FC89571" w14:textId="77777777" w:rsidR="008B1E2C" w:rsidRPr="00237690" w:rsidRDefault="008B1E2C" w:rsidP="008B1E2C">
      <w:pPr>
        <w:jc w:val="both"/>
        <w:rPr>
          <w:sz w:val="20"/>
          <w:szCs w:val="20"/>
        </w:rPr>
      </w:pPr>
    </w:p>
    <w:p w14:paraId="4D19FFFE" w14:textId="77777777" w:rsidR="008B1E2C" w:rsidRPr="00237690" w:rsidRDefault="008B1E2C" w:rsidP="008B1E2C">
      <w:pPr>
        <w:jc w:val="both"/>
        <w:rPr>
          <w:sz w:val="20"/>
          <w:szCs w:val="20"/>
        </w:rPr>
      </w:pPr>
    </w:p>
    <w:p w14:paraId="797E9B7F" w14:textId="77777777" w:rsidR="008B1E2C" w:rsidRPr="00237690" w:rsidRDefault="008B1E2C" w:rsidP="008B1E2C">
      <w:pPr>
        <w:tabs>
          <w:tab w:val="center" w:pos="4536"/>
          <w:tab w:val="right" w:pos="9498"/>
        </w:tabs>
        <w:jc w:val="both"/>
        <w:rPr>
          <w:sz w:val="20"/>
          <w:szCs w:val="20"/>
        </w:rPr>
      </w:pPr>
      <w:r w:rsidRPr="00237690">
        <w:rPr>
          <w:sz w:val="20"/>
          <w:szCs w:val="20"/>
        </w:rPr>
        <w:t>Pareigos [...]</w:t>
      </w:r>
      <w:r w:rsidRPr="00237690">
        <w:rPr>
          <w:sz w:val="20"/>
          <w:szCs w:val="20"/>
        </w:rPr>
        <w:tab/>
        <w:t xml:space="preserve">(parašas)  </w:t>
      </w:r>
      <w:r w:rsidRPr="00237690">
        <w:rPr>
          <w:sz w:val="20"/>
          <w:szCs w:val="20"/>
        </w:rPr>
        <w:tab/>
        <w:t>Vardas, pavardė [...]</w:t>
      </w:r>
    </w:p>
    <w:p w14:paraId="09204A61" w14:textId="77777777" w:rsidR="008B1E2C" w:rsidRPr="00237690" w:rsidRDefault="008B1E2C" w:rsidP="008B1E2C">
      <w:pPr>
        <w:jc w:val="both"/>
        <w:rPr>
          <w:sz w:val="20"/>
          <w:szCs w:val="20"/>
        </w:rPr>
      </w:pPr>
    </w:p>
    <w:p w14:paraId="36D22CCD" w14:textId="77777777" w:rsidR="008B1E2C" w:rsidRPr="00237690" w:rsidRDefault="008B1E2C" w:rsidP="008B1E2C">
      <w:pPr>
        <w:jc w:val="both"/>
        <w:rPr>
          <w:sz w:val="20"/>
          <w:szCs w:val="20"/>
        </w:rPr>
      </w:pPr>
    </w:p>
    <w:p w14:paraId="380D8BD7" w14:textId="77777777" w:rsidR="008B1E2C" w:rsidRPr="00237690" w:rsidRDefault="008B1E2C" w:rsidP="008B1E2C">
      <w:pPr>
        <w:jc w:val="both"/>
        <w:rPr>
          <w:sz w:val="20"/>
          <w:szCs w:val="20"/>
        </w:rPr>
      </w:pPr>
    </w:p>
    <w:p w14:paraId="7ABA8900" w14:textId="77777777" w:rsidR="008B1E2C" w:rsidRPr="00237690" w:rsidRDefault="008B1E2C" w:rsidP="008B1E2C">
      <w:pPr>
        <w:jc w:val="both"/>
        <w:rPr>
          <w:sz w:val="20"/>
          <w:szCs w:val="20"/>
        </w:rPr>
      </w:pPr>
      <w:r w:rsidRPr="00237690">
        <w:rPr>
          <w:sz w:val="20"/>
          <w:szCs w:val="20"/>
        </w:rPr>
        <w:t>Susipažinau ___________________________________________</w:t>
      </w:r>
    </w:p>
    <w:p w14:paraId="6126B34B" w14:textId="77777777" w:rsidR="008B1E2C" w:rsidRPr="00237690" w:rsidRDefault="008B1E2C" w:rsidP="008B1E2C">
      <w:pPr>
        <w:tabs>
          <w:tab w:val="left" w:pos="241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237690">
        <w:rPr>
          <w:sz w:val="20"/>
          <w:szCs w:val="20"/>
        </w:rPr>
        <w:t xml:space="preserve"> (vardas, pavardė, parašas)</w:t>
      </w:r>
    </w:p>
    <w:p w14:paraId="28041259" w14:textId="77777777" w:rsidR="001C5F58" w:rsidRPr="00A43ED4" w:rsidRDefault="001C5F58" w:rsidP="008B1E2C">
      <w:pPr>
        <w:jc w:val="both"/>
        <w:rPr>
          <w:b/>
          <w:sz w:val="22"/>
          <w:szCs w:val="20"/>
        </w:rPr>
      </w:pPr>
    </w:p>
    <w:sectPr w:rsidR="001C5F58" w:rsidRPr="00A43ED4" w:rsidSect="003D0F79">
      <w:type w:val="continuous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B2D43"/>
    <w:multiLevelType w:val="hybridMultilevel"/>
    <w:tmpl w:val="C786E0FE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C5C5F"/>
    <w:multiLevelType w:val="multilevel"/>
    <w:tmpl w:val="D0D4D55C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  <w:sz w:val="2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14" w:hanging="1800"/>
      </w:pPr>
      <w:rPr>
        <w:rFonts w:hint="default"/>
      </w:rPr>
    </w:lvl>
  </w:abstractNum>
  <w:abstractNum w:abstractNumId="2" w15:restartNumberingAfterBreak="0">
    <w:nsid w:val="54DD79E6"/>
    <w:multiLevelType w:val="hybridMultilevel"/>
    <w:tmpl w:val="7778B482"/>
    <w:lvl w:ilvl="0" w:tplc="D2AED3AA">
      <w:start w:val="7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772B9"/>
    <w:multiLevelType w:val="hybridMultilevel"/>
    <w:tmpl w:val="C0643C7E"/>
    <w:lvl w:ilvl="0" w:tplc="D2AED3AA">
      <w:start w:val="7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29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DC5"/>
    <w:rsid w:val="000033E3"/>
    <w:rsid w:val="00040DC5"/>
    <w:rsid w:val="000A03F6"/>
    <w:rsid w:val="000F18A1"/>
    <w:rsid w:val="000F36FA"/>
    <w:rsid w:val="0010569B"/>
    <w:rsid w:val="00130CCB"/>
    <w:rsid w:val="00162AB1"/>
    <w:rsid w:val="00193A48"/>
    <w:rsid w:val="001A17CD"/>
    <w:rsid w:val="001C5F58"/>
    <w:rsid w:val="001F4AE4"/>
    <w:rsid w:val="002079B7"/>
    <w:rsid w:val="002201A5"/>
    <w:rsid w:val="002302AB"/>
    <w:rsid w:val="00237690"/>
    <w:rsid w:val="00252C70"/>
    <w:rsid w:val="00260AF9"/>
    <w:rsid w:val="00263537"/>
    <w:rsid w:val="0028734D"/>
    <w:rsid w:val="002D00FE"/>
    <w:rsid w:val="002D7C49"/>
    <w:rsid w:val="002E5275"/>
    <w:rsid w:val="002F1A21"/>
    <w:rsid w:val="00314C62"/>
    <w:rsid w:val="0035204A"/>
    <w:rsid w:val="00356F71"/>
    <w:rsid w:val="003828A4"/>
    <w:rsid w:val="00385480"/>
    <w:rsid w:val="0039538C"/>
    <w:rsid w:val="003A72AB"/>
    <w:rsid w:val="003D0F79"/>
    <w:rsid w:val="0040246B"/>
    <w:rsid w:val="0040751B"/>
    <w:rsid w:val="00485883"/>
    <w:rsid w:val="00485F57"/>
    <w:rsid w:val="004957D8"/>
    <w:rsid w:val="004A4DD2"/>
    <w:rsid w:val="004A60BC"/>
    <w:rsid w:val="004C3D1F"/>
    <w:rsid w:val="004E0C2E"/>
    <w:rsid w:val="004E3D37"/>
    <w:rsid w:val="004E68DC"/>
    <w:rsid w:val="004F5028"/>
    <w:rsid w:val="0056293F"/>
    <w:rsid w:val="00563A96"/>
    <w:rsid w:val="00564945"/>
    <w:rsid w:val="0057670A"/>
    <w:rsid w:val="00583BF9"/>
    <w:rsid w:val="00593903"/>
    <w:rsid w:val="005978B9"/>
    <w:rsid w:val="005E5631"/>
    <w:rsid w:val="00600073"/>
    <w:rsid w:val="006373A3"/>
    <w:rsid w:val="006601F1"/>
    <w:rsid w:val="00673D56"/>
    <w:rsid w:val="006855D9"/>
    <w:rsid w:val="00706213"/>
    <w:rsid w:val="0075339E"/>
    <w:rsid w:val="007629A3"/>
    <w:rsid w:val="007906D8"/>
    <w:rsid w:val="00796A3C"/>
    <w:rsid w:val="007A718D"/>
    <w:rsid w:val="007E038E"/>
    <w:rsid w:val="00842ED3"/>
    <w:rsid w:val="008471CD"/>
    <w:rsid w:val="00865A22"/>
    <w:rsid w:val="0087666E"/>
    <w:rsid w:val="008770CF"/>
    <w:rsid w:val="00880316"/>
    <w:rsid w:val="008A0F4D"/>
    <w:rsid w:val="008A5087"/>
    <w:rsid w:val="008B1E2C"/>
    <w:rsid w:val="008B4993"/>
    <w:rsid w:val="00912DDB"/>
    <w:rsid w:val="0091464F"/>
    <w:rsid w:val="00954197"/>
    <w:rsid w:val="00990FD1"/>
    <w:rsid w:val="009B320F"/>
    <w:rsid w:val="009D6426"/>
    <w:rsid w:val="00A124C8"/>
    <w:rsid w:val="00A43ED4"/>
    <w:rsid w:val="00A44352"/>
    <w:rsid w:val="00A464CB"/>
    <w:rsid w:val="00A4734C"/>
    <w:rsid w:val="00A5239B"/>
    <w:rsid w:val="00A74E62"/>
    <w:rsid w:val="00AA3B33"/>
    <w:rsid w:val="00AC7B92"/>
    <w:rsid w:val="00AE7803"/>
    <w:rsid w:val="00B07F67"/>
    <w:rsid w:val="00B13DFE"/>
    <w:rsid w:val="00B474EF"/>
    <w:rsid w:val="00B51A9A"/>
    <w:rsid w:val="00B94C56"/>
    <w:rsid w:val="00BB5687"/>
    <w:rsid w:val="00C163C9"/>
    <w:rsid w:val="00C46A69"/>
    <w:rsid w:val="00C544B2"/>
    <w:rsid w:val="00C63291"/>
    <w:rsid w:val="00C67F91"/>
    <w:rsid w:val="00CC074A"/>
    <w:rsid w:val="00CC5F81"/>
    <w:rsid w:val="00CD1121"/>
    <w:rsid w:val="00CE3C85"/>
    <w:rsid w:val="00CE455D"/>
    <w:rsid w:val="00CF5083"/>
    <w:rsid w:val="00D02E68"/>
    <w:rsid w:val="00D12016"/>
    <w:rsid w:val="00D62E28"/>
    <w:rsid w:val="00D703D9"/>
    <w:rsid w:val="00DC2CAB"/>
    <w:rsid w:val="00DF2ED3"/>
    <w:rsid w:val="00DF51C0"/>
    <w:rsid w:val="00E30E2F"/>
    <w:rsid w:val="00E550E2"/>
    <w:rsid w:val="00E65C7C"/>
    <w:rsid w:val="00E72F69"/>
    <w:rsid w:val="00E74BA5"/>
    <w:rsid w:val="00F0137A"/>
    <w:rsid w:val="00F01F41"/>
    <w:rsid w:val="00F05A8C"/>
    <w:rsid w:val="00F115AA"/>
    <w:rsid w:val="00F42CB0"/>
    <w:rsid w:val="00FA0124"/>
    <w:rsid w:val="00FA73DE"/>
    <w:rsid w:val="00FC06ED"/>
    <w:rsid w:val="00FE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31012"/>
  <w15:chartTrackingRefBased/>
  <w15:docId w15:val="{6598FB52-B1E1-4DD8-9B4C-4BCEF84B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7B92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912DD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E65C7C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990FD1"/>
  </w:style>
  <w:style w:type="paragraph" w:styleId="BalloonText">
    <w:name w:val="Balloon Text"/>
    <w:basedOn w:val="Normal"/>
    <w:link w:val="BalloonTextChar"/>
    <w:uiPriority w:val="99"/>
    <w:semiHidden/>
    <w:unhideWhenUsed/>
    <w:rsid w:val="00706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21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62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2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2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2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2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6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22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1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12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1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29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08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405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8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3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21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00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73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56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77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98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92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59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49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D3596-FD65-46FA-A4C5-AEFE5D332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5980</Words>
  <Characters>3409</Characters>
  <Application>Microsoft Office Word</Application>
  <DocSecurity>0</DocSecurity>
  <Lines>28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Jurgis Šefleris</dc:creator>
  <cp:keywords/>
  <dc:description/>
  <cp:lastModifiedBy>Jonas Rapsikevičius</cp:lastModifiedBy>
  <cp:revision>9</cp:revision>
  <cp:lastPrinted>2019-11-20T12:20:00Z</cp:lastPrinted>
  <dcterms:created xsi:type="dcterms:W3CDTF">2020-11-03T09:23:00Z</dcterms:created>
  <dcterms:modified xsi:type="dcterms:W3CDTF">2021-04-01T09:22:00Z</dcterms:modified>
</cp:coreProperties>
</file>